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74" w:rsidRPr="00F225B0" w:rsidRDefault="00A22B74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center"/>
        <w:rPr>
          <w:b/>
          <w:bCs/>
          <w:sz w:val="32"/>
        </w:rPr>
      </w:pPr>
      <w:r w:rsidRPr="00F225B0">
        <w:rPr>
          <w:b/>
          <w:bCs/>
          <w:sz w:val="32"/>
        </w:rPr>
        <w:t>World Bank</w:t>
      </w:r>
      <w:r w:rsidR="00F225B0" w:rsidRPr="00F225B0">
        <w:rPr>
          <w:b/>
          <w:bCs/>
          <w:sz w:val="32"/>
        </w:rPr>
        <w:t xml:space="preserve"> Group</w:t>
      </w:r>
      <w:r w:rsidR="00395F72" w:rsidRPr="00F225B0">
        <w:rPr>
          <w:b/>
          <w:bCs/>
          <w:sz w:val="32"/>
        </w:rPr>
        <w:t xml:space="preserve"> </w:t>
      </w:r>
    </w:p>
    <w:p w:rsidR="00D6420C" w:rsidRPr="00F225B0" w:rsidRDefault="00631847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center"/>
        <w:rPr>
          <w:b/>
          <w:bCs/>
          <w:sz w:val="32"/>
        </w:rPr>
      </w:pPr>
      <w:r w:rsidRPr="00F225B0">
        <w:rPr>
          <w:b/>
          <w:bCs/>
          <w:sz w:val="32"/>
        </w:rPr>
        <w:t xml:space="preserve">Advisory Council </w:t>
      </w:r>
      <w:r w:rsidR="00A22B74" w:rsidRPr="00F225B0">
        <w:rPr>
          <w:b/>
          <w:bCs/>
          <w:sz w:val="32"/>
        </w:rPr>
        <w:t xml:space="preserve">on </w:t>
      </w:r>
      <w:r w:rsidR="00787F8E" w:rsidRPr="00F225B0">
        <w:rPr>
          <w:b/>
          <w:bCs/>
          <w:sz w:val="32"/>
        </w:rPr>
        <w:t>Gender and Development</w:t>
      </w:r>
      <w:r w:rsidR="00541A1D" w:rsidRPr="00F225B0">
        <w:rPr>
          <w:b/>
          <w:bCs/>
          <w:sz w:val="32"/>
        </w:rPr>
        <w:t xml:space="preserve"> </w:t>
      </w:r>
    </w:p>
    <w:p w:rsidR="00F225B0" w:rsidRPr="00F225B0" w:rsidRDefault="00631847" w:rsidP="00F225B0">
      <w:pPr>
        <w:tabs>
          <w:tab w:val="left" w:pos="9540"/>
        </w:tabs>
        <w:autoSpaceDE w:val="0"/>
        <w:autoSpaceDN w:val="0"/>
        <w:adjustRightInd w:val="0"/>
        <w:ind w:left="180" w:right="-72"/>
        <w:jc w:val="center"/>
        <w:rPr>
          <w:b/>
          <w:bCs/>
          <w:sz w:val="32"/>
        </w:rPr>
      </w:pPr>
      <w:r w:rsidRPr="00F225B0">
        <w:rPr>
          <w:b/>
          <w:bCs/>
          <w:sz w:val="32"/>
        </w:rPr>
        <w:t>Charter</w:t>
      </w:r>
      <w:r w:rsidR="00DD1F11">
        <w:rPr>
          <w:b/>
          <w:bCs/>
          <w:sz w:val="32"/>
        </w:rPr>
        <w:t>, 2016-2023</w:t>
      </w:r>
    </w:p>
    <w:p w:rsidR="00F94263" w:rsidRDefault="00F94263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center"/>
        <w:rPr>
          <w:b/>
          <w:bCs/>
        </w:rPr>
      </w:pPr>
    </w:p>
    <w:p w:rsidR="009341A3" w:rsidRPr="00FA3306" w:rsidRDefault="009341A3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center"/>
        <w:rPr>
          <w:b/>
          <w:bCs/>
        </w:rPr>
      </w:pPr>
      <w:bookmarkStart w:id="0" w:name="_GoBack"/>
      <w:bookmarkEnd w:id="0"/>
    </w:p>
    <w:p w:rsidR="00F94263" w:rsidRPr="00FA3306" w:rsidRDefault="00F94263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  <w:rPr>
          <w:b/>
        </w:rPr>
      </w:pPr>
      <w:r w:rsidRPr="00FA3306">
        <w:rPr>
          <w:b/>
        </w:rPr>
        <w:t xml:space="preserve">I. BACKGROUND </w:t>
      </w:r>
    </w:p>
    <w:p w:rsidR="00F94263" w:rsidRDefault="00F94263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CA1C2A" w:rsidRDefault="00B106BB" w:rsidP="004D5600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>
        <w:t xml:space="preserve">Over the past </w:t>
      </w:r>
      <w:r w:rsidR="00654DE3">
        <w:t>decades</w:t>
      </w:r>
      <w:r>
        <w:t>, gender equality has evolved steadily and women have made unprecedented gains in rig</w:t>
      </w:r>
      <w:r w:rsidR="004D5600">
        <w:t xml:space="preserve">hts, education and health, and </w:t>
      </w:r>
      <w:r>
        <w:t xml:space="preserve">access to employment and livelihoods. </w:t>
      </w:r>
      <w:r w:rsidRPr="00B106BB">
        <w:t>Although many women continue to</w:t>
      </w:r>
      <w:r>
        <w:t xml:space="preserve"> </w:t>
      </w:r>
      <w:r w:rsidRPr="00B106BB">
        <w:t>struggle with gender-based disadvantages in their daily li</w:t>
      </w:r>
      <w:r>
        <w:t xml:space="preserve">ves, things have changed for the better. </w:t>
      </w:r>
      <w:r w:rsidRPr="00B106BB">
        <w:t>Progress</w:t>
      </w:r>
      <w:r w:rsidR="004D5600">
        <w:t>, however, has not come easily, a</w:t>
      </w:r>
      <w:r w:rsidRPr="00B106BB">
        <w:t xml:space="preserve">nd </w:t>
      </w:r>
      <w:r w:rsidR="00500BEF">
        <w:t xml:space="preserve">it </w:t>
      </w:r>
      <w:r w:rsidRPr="00B106BB">
        <w:t>has not come evenly to all countries or all women—or across all dimensions of gender equality.</w:t>
      </w:r>
    </w:p>
    <w:p w:rsidR="004D5600" w:rsidRDefault="004D5600" w:rsidP="004D5600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B32F5D" w:rsidRDefault="004D5600" w:rsidP="003535A3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 w:rsidRPr="004D5600">
        <w:t>The World Bank Group (WBG) has supported g</w:t>
      </w:r>
      <w:r w:rsidR="005A1619">
        <w:t xml:space="preserve">ender </w:t>
      </w:r>
      <w:r w:rsidR="00654DE3">
        <w:t xml:space="preserve">equality </w:t>
      </w:r>
      <w:r w:rsidR="005A1619">
        <w:t>in its work for some time.</w:t>
      </w:r>
      <w:r w:rsidRPr="004D5600">
        <w:t xml:space="preserve"> </w:t>
      </w:r>
      <w:r w:rsidR="00152CE4">
        <w:t xml:space="preserve"> </w:t>
      </w:r>
      <w:r w:rsidRPr="004D5600">
        <w:t>From</w:t>
      </w:r>
      <w:r>
        <w:t xml:space="preserve"> 2007-2010, the </w:t>
      </w:r>
      <w:r w:rsidRPr="00B509B1">
        <w:rPr>
          <w:i/>
        </w:rPr>
        <w:t>Gender Action Plan</w:t>
      </w:r>
      <w:r>
        <w:t xml:space="preserve"> (GAP) </w:t>
      </w:r>
      <w:r w:rsidRPr="007A0AEE">
        <w:t>boosted attention to gender issues through incentive funding for innovative programs to promote women’s economic empowerment.</w:t>
      </w:r>
      <w:r>
        <w:t xml:space="preserve"> </w:t>
      </w:r>
      <w:r w:rsidR="00B01287">
        <w:t>For the duration of the GAP</w:t>
      </w:r>
      <w:r w:rsidR="00655D75">
        <w:t xml:space="preserve">, the </w:t>
      </w:r>
      <w:r w:rsidR="00655D75" w:rsidRPr="00655D75">
        <w:rPr>
          <w:i/>
        </w:rPr>
        <w:t>Advisory Council on Women’s Economic Empowerment</w:t>
      </w:r>
      <w:r w:rsidR="00655D75">
        <w:t xml:space="preserve"> </w:t>
      </w:r>
      <w:r w:rsidR="00637F10">
        <w:t>offered guidance</w:t>
      </w:r>
      <w:r w:rsidR="00341E2D">
        <w:t xml:space="preserve"> to the WBG</w:t>
      </w:r>
      <w:r w:rsidR="00637F10">
        <w:t xml:space="preserve"> and </w:t>
      </w:r>
      <w:r w:rsidR="00655D75">
        <w:t xml:space="preserve">served as a forum for members to promote women’s economic empowerment. </w:t>
      </w:r>
      <w:r>
        <w:t xml:space="preserve">The </w:t>
      </w:r>
      <w:r w:rsidRPr="004D5600">
        <w:t>partnerships</w:t>
      </w:r>
      <w:r>
        <w:t xml:space="preserve"> and dialogue</w:t>
      </w:r>
      <w:r w:rsidR="00B509B1">
        <w:t xml:space="preserve"> forged during this time</w:t>
      </w:r>
      <w:r w:rsidRPr="004D5600">
        <w:t xml:space="preserve"> helped generate and focus </w:t>
      </w:r>
      <w:r w:rsidR="00244E04">
        <w:t>attention on</w:t>
      </w:r>
      <w:r w:rsidRPr="004D5600">
        <w:t xml:space="preserve"> women’s economic empowerment, </w:t>
      </w:r>
      <w:r w:rsidR="00C06B3E">
        <w:t>mobilizing</w:t>
      </w:r>
      <w:r w:rsidRPr="004D5600">
        <w:t xml:space="preserve"> man</w:t>
      </w:r>
      <w:r w:rsidR="00C06B3E">
        <w:t>y new resources and initiatives</w:t>
      </w:r>
      <w:r>
        <w:t xml:space="preserve"> such as </w:t>
      </w:r>
      <w:r w:rsidRPr="004D5600">
        <w:t>gender equality a</w:t>
      </w:r>
      <w:r>
        <w:t>s a</w:t>
      </w:r>
      <w:r w:rsidRPr="004D5600">
        <w:t xml:space="preserve"> special theme of the 16</w:t>
      </w:r>
      <w:r w:rsidRPr="004D5600">
        <w:rPr>
          <w:vertAlign w:val="superscript"/>
        </w:rPr>
        <w:t>th</w:t>
      </w:r>
      <w:r w:rsidRPr="004D5600">
        <w:t xml:space="preserve"> </w:t>
      </w:r>
      <w:r w:rsidR="00DD1F11">
        <w:t>and 17</w:t>
      </w:r>
      <w:r w:rsidR="00DD1F11" w:rsidRPr="00DD1F11">
        <w:rPr>
          <w:vertAlign w:val="superscript"/>
        </w:rPr>
        <w:t>th</w:t>
      </w:r>
      <w:r w:rsidR="00DD1F11">
        <w:t xml:space="preserve"> </w:t>
      </w:r>
      <w:r w:rsidRPr="004D5600">
        <w:t>replenishment</w:t>
      </w:r>
      <w:r w:rsidR="00DD1F11">
        <w:t>s</w:t>
      </w:r>
      <w:r w:rsidRPr="004D5600">
        <w:t xml:space="preserve"> of the International Development Association</w:t>
      </w:r>
      <w:r w:rsidR="00B509B1">
        <w:t xml:space="preserve">, and </w:t>
      </w:r>
      <w:r w:rsidRPr="004D5600">
        <w:t>the decision to have a first-ever W</w:t>
      </w:r>
      <w:r w:rsidR="00343B0A">
        <w:t xml:space="preserve">orld </w:t>
      </w:r>
      <w:r w:rsidRPr="004D5600">
        <w:t>D</w:t>
      </w:r>
      <w:r w:rsidR="00343B0A">
        <w:t xml:space="preserve">evelopment </w:t>
      </w:r>
      <w:r w:rsidRPr="004D5600">
        <w:t>R</w:t>
      </w:r>
      <w:r w:rsidR="00343B0A">
        <w:t>eport</w:t>
      </w:r>
      <w:r w:rsidRPr="004D5600">
        <w:t xml:space="preserve"> on Gender and Development.</w:t>
      </w:r>
      <w:r w:rsidR="003535A3">
        <w:t xml:space="preserve"> This Council closed in April 2011, with members</w:t>
      </w:r>
      <w:r w:rsidR="00B32F5D" w:rsidRPr="00B32F5D">
        <w:t xml:space="preserve"> call</w:t>
      </w:r>
      <w:r w:rsidR="003535A3">
        <w:t>ing</w:t>
      </w:r>
      <w:r w:rsidR="00B32F5D" w:rsidRPr="00B32F5D">
        <w:t xml:space="preserve"> for the creation of a new Advisory Council to build on </w:t>
      </w:r>
      <w:r w:rsidR="00B32F5D">
        <w:t>this momentum</w:t>
      </w:r>
      <w:r w:rsidR="003535A3">
        <w:t xml:space="preserve"> and </w:t>
      </w:r>
      <w:r w:rsidR="00B32F5D" w:rsidRPr="00B32F5D">
        <w:t>strengthen demand for programs and projects that can empower wo</w:t>
      </w:r>
      <w:r w:rsidR="003535A3">
        <w:t>men and promote gender equality.</w:t>
      </w:r>
    </w:p>
    <w:p w:rsidR="003535A3" w:rsidRDefault="003535A3" w:rsidP="003535A3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8C2155" w:rsidRDefault="003535A3" w:rsidP="003535A3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>
        <w:t xml:space="preserve">In September 2011, the World Bank launched its </w:t>
      </w:r>
      <w:r w:rsidRPr="003535A3">
        <w:rPr>
          <w:i/>
        </w:rPr>
        <w:t>Advisory Council on Gender and Development</w:t>
      </w:r>
      <w:r>
        <w:t xml:space="preserve">, alongside the release of </w:t>
      </w:r>
      <w:r w:rsidRPr="003535A3">
        <w:rPr>
          <w:i/>
        </w:rPr>
        <w:t>World Development Report 2012: Gender Equality and Development</w:t>
      </w:r>
      <w:r>
        <w:t xml:space="preserve"> and the accompanying paper </w:t>
      </w:r>
      <w:r w:rsidRPr="003535A3">
        <w:rPr>
          <w:i/>
        </w:rPr>
        <w:t xml:space="preserve">Implications of </w:t>
      </w:r>
      <w:r w:rsidRPr="007C0198">
        <w:rPr>
          <w:i/>
        </w:rPr>
        <w:t xml:space="preserve">World Development Report 2012: Gender Equality and Development </w:t>
      </w:r>
      <w:r w:rsidRPr="003535A3">
        <w:rPr>
          <w:i/>
        </w:rPr>
        <w:t>for the World Bank Group</w:t>
      </w:r>
      <w:r>
        <w:t>.</w:t>
      </w:r>
      <w:r w:rsidR="008C2155">
        <w:t xml:space="preserve"> In 2012 a new multi-donor trust fund, the Umbrella Facility for Gender Equality, was established to strengthen the awareness, knowledge and capacity for gender-informed policy making</w:t>
      </w:r>
      <w:r w:rsidR="00F91F2D">
        <w:t>.</w:t>
      </w:r>
      <w:r>
        <w:t xml:space="preserve"> </w:t>
      </w:r>
      <w:r w:rsidR="00654DE3">
        <w:t xml:space="preserve">In 2014 the World Bank Group launched the report </w:t>
      </w:r>
      <w:r w:rsidR="00654DE3" w:rsidRPr="00DB586A">
        <w:rPr>
          <w:i/>
        </w:rPr>
        <w:t>Voice and Agency: Empowering Women and Girls for Shared Prosperity</w:t>
      </w:r>
      <w:r w:rsidR="00654DE3">
        <w:t xml:space="preserve"> which casts important light on the nature of constraints women and girls continue to face globally. </w:t>
      </w:r>
    </w:p>
    <w:p w:rsidR="008C2155" w:rsidRDefault="008C2155" w:rsidP="003535A3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654DE3" w:rsidRDefault="008C2155" w:rsidP="003535A3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>
        <w:t>In 201</w:t>
      </w:r>
      <w:r w:rsidR="00F91F2D">
        <w:t>4</w:t>
      </w:r>
      <w:r>
        <w:t xml:space="preserve"> the World Bank Group included gender equality as one of its new Cross Cutting Solutions Areas, </w:t>
      </w:r>
      <w:r w:rsidR="00DE34FB">
        <w:t>which</w:t>
      </w:r>
      <w:r w:rsidR="001C5219">
        <w:t xml:space="preserve"> </w:t>
      </w:r>
      <w:r w:rsidR="00DE34FB">
        <w:t xml:space="preserve">brought </w:t>
      </w:r>
      <w:r w:rsidR="001C5219">
        <w:t xml:space="preserve">together the </w:t>
      </w:r>
      <w:r w:rsidR="001C5219" w:rsidRPr="001C5219">
        <w:t>World Bank</w:t>
      </w:r>
      <w:r w:rsidR="001C5219">
        <w:t>’s</w:t>
      </w:r>
      <w:r w:rsidR="001C5219" w:rsidRPr="001C5219">
        <w:t xml:space="preserve"> Gender Group and IFC</w:t>
      </w:r>
      <w:r w:rsidR="001C5219">
        <w:t>’s</w:t>
      </w:r>
      <w:r w:rsidR="001C5219" w:rsidRPr="001C5219">
        <w:t xml:space="preserve"> Gender Secretariat</w:t>
      </w:r>
      <w:r w:rsidR="00DE34FB">
        <w:t xml:space="preserve"> and</w:t>
      </w:r>
      <w:r w:rsidR="001C5219">
        <w:t xml:space="preserve"> </w:t>
      </w:r>
      <w:r>
        <w:t>demonstrat</w:t>
      </w:r>
      <w:r w:rsidR="00DE34FB">
        <w:t>ed</w:t>
      </w:r>
      <w:r>
        <w:t xml:space="preserve"> </w:t>
      </w:r>
      <w:r w:rsidR="00DE34FB">
        <w:t xml:space="preserve">the </w:t>
      </w:r>
      <w:r>
        <w:t xml:space="preserve">continued commitment to achieving gender equality. </w:t>
      </w:r>
      <w:r w:rsidR="004F43A7">
        <w:t xml:space="preserve">The renewed World Bank Strategy 2016-2023 </w:t>
      </w:r>
      <w:r>
        <w:t>build</w:t>
      </w:r>
      <w:r w:rsidR="003A26A0">
        <w:t>s</w:t>
      </w:r>
      <w:r>
        <w:t xml:space="preserve"> on past achievements and focus</w:t>
      </w:r>
      <w:r w:rsidR="003A26A0">
        <w:t>es</w:t>
      </w:r>
      <w:r>
        <w:t xml:space="preserve"> on practical approaches the public and private sectors can take to alleviate the differential constraints for poor women and men</w:t>
      </w:r>
      <w:r w:rsidR="003A26A0">
        <w:t xml:space="preserve"> in </w:t>
      </w:r>
      <w:r w:rsidR="004F43A7">
        <w:t>education and hea</w:t>
      </w:r>
      <w:r w:rsidR="001D2D61">
        <w:t>l</w:t>
      </w:r>
      <w:r w:rsidR="004F43A7">
        <w:t xml:space="preserve">th, </w:t>
      </w:r>
      <w:r w:rsidR="003A26A0">
        <w:t>economic opportunity</w:t>
      </w:r>
      <w:r w:rsidR="004F43A7">
        <w:t xml:space="preserve"> (especially more and better jobs and ownership/control over financial and physical assets)</w:t>
      </w:r>
      <w:r w:rsidR="003A26A0">
        <w:t>, and voice and agency</w:t>
      </w:r>
      <w:r>
        <w:t xml:space="preserve">.  </w:t>
      </w:r>
    </w:p>
    <w:p w:rsidR="008C2155" w:rsidRDefault="008C2155" w:rsidP="003535A3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EE2347" w:rsidRDefault="00EE2347" w:rsidP="003535A3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B06EC7" w:rsidRDefault="00B06EC7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  <w:rPr>
          <w:b/>
        </w:rPr>
      </w:pPr>
    </w:p>
    <w:p w:rsidR="00F94263" w:rsidRPr="00ED4D9E" w:rsidRDefault="00F94263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  <w:rPr>
          <w:b/>
        </w:rPr>
      </w:pPr>
      <w:r w:rsidRPr="00F94263">
        <w:rPr>
          <w:b/>
        </w:rPr>
        <w:t>II</w:t>
      </w:r>
      <w:r w:rsidR="00C51957" w:rsidRPr="00F94263">
        <w:rPr>
          <w:b/>
        </w:rPr>
        <w:t xml:space="preserve">. </w:t>
      </w:r>
      <w:r w:rsidR="00DD1F11">
        <w:rPr>
          <w:b/>
        </w:rPr>
        <w:t xml:space="preserve"> </w:t>
      </w:r>
      <w:r w:rsidR="00C51957">
        <w:rPr>
          <w:b/>
        </w:rPr>
        <w:t>OBJECTIVES</w:t>
      </w:r>
      <w:r w:rsidRPr="00F94263">
        <w:rPr>
          <w:b/>
        </w:rPr>
        <w:t xml:space="preserve"> </w:t>
      </w:r>
      <w:r w:rsidR="002445DB">
        <w:rPr>
          <w:b/>
        </w:rPr>
        <w:t>AND MANDATE</w:t>
      </w:r>
      <w:r w:rsidR="009D338A" w:rsidRPr="00ED4D9E">
        <w:rPr>
          <w:b/>
        </w:rPr>
        <w:t xml:space="preserve"> </w:t>
      </w:r>
      <w:r w:rsidRPr="00ED4D9E">
        <w:rPr>
          <w:b/>
        </w:rPr>
        <w:t>OF THE ADVISORY COUNCIL</w:t>
      </w:r>
    </w:p>
    <w:p w:rsidR="00F94263" w:rsidRPr="00ED4D9E" w:rsidRDefault="00F94263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B509B1" w:rsidRPr="00ED4D9E" w:rsidRDefault="00B32F5D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 w:rsidRPr="00ED4D9E">
        <w:t>The</w:t>
      </w:r>
      <w:r w:rsidR="00B509B1" w:rsidRPr="00ED4D9E">
        <w:t xml:space="preserve"> key</w:t>
      </w:r>
      <w:r w:rsidRPr="00ED4D9E">
        <w:t xml:space="preserve"> </w:t>
      </w:r>
      <w:r w:rsidR="001B7634" w:rsidRPr="00ED4D9E">
        <w:t xml:space="preserve">objectives of the </w:t>
      </w:r>
      <w:r w:rsidR="007817A7" w:rsidRPr="00ED4D9E">
        <w:rPr>
          <w:i/>
        </w:rPr>
        <w:t xml:space="preserve">Advisory Council on </w:t>
      </w:r>
      <w:r w:rsidR="00C85BA3" w:rsidRPr="00ED4D9E">
        <w:rPr>
          <w:i/>
        </w:rPr>
        <w:t>Gender and Development</w:t>
      </w:r>
      <w:r w:rsidR="00FA0B9D" w:rsidRPr="00ED4D9E">
        <w:t xml:space="preserve"> </w:t>
      </w:r>
      <w:r w:rsidR="001B7634" w:rsidRPr="00ED4D9E">
        <w:t>are</w:t>
      </w:r>
      <w:r w:rsidR="00B509B1" w:rsidRPr="00ED4D9E">
        <w:t>:</w:t>
      </w:r>
    </w:p>
    <w:p w:rsidR="00B509B1" w:rsidRPr="00ED4D9E" w:rsidRDefault="00B509B1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DE40BD" w:rsidRPr="00ED4D9E" w:rsidRDefault="00DD1F11" w:rsidP="00C06B3E">
      <w:pPr>
        <w:pStyle w:val="ListParagraph"/>
        <w:numPr>
          <w:ilvl w:val="0"/>
          <w:numId w:val="14"/>
        </w:numPr>
        <w:tabs>
          <w:tab w:val="left" w:pos="9540"/>
        </w:tabs>
        <w:autoSpaceDE w:val="0"/>
        <w:autoSpaceDN w:val="0"/>
        <w:adjustRightInd w:val="0"/>
        <w:ind w:right="-72"/>
        <w:jc w:val="both"/>
        <w:rPr>
          <w:b/>
        </w:rPr>
      </w:pPr>
      <w:r>
        <w:rPr>
          <w:b/>
        </w:rPr>
        <w:t>Help the Bank c</w:t>
      </w:r>
      <w:r w:rsidR="00B509B1" w:rsidRPr="00ED4D9E">
        <w:rPr>
          <w:b/>
        </w:rPr>
        <w:t xml:space="preserve">onsider </w:t>
      </w:r>
      <w:r>
        <w:rPr>
          <w:b/>
        </w:rPr>
        <w:t xml:space="preserve">how to accelerate </w:t>
      </w:r>
      <w:r w:rsidR="00B509B1" w:rsidRPr="00ED4D9E">
        <w:rPr>
          <w:b/>
        </w:rPr>
        <w:t xml:space="preserve">progress </w:t>
      </w:r>
      <w:r w:rsidR="00C06B3E" w:rsidRPr="00ED4D9E">
        <w:rPr>
          <w:b/>
        </w:rPr>
        <w:t>o</w:t>
      </w:r>
      <w:r w:rsidR="00B300E8" w:rsidRPr="00ED4D9E">
        <w:rPr>
          <w:b/>
        </w:rPr>
        <w:t xml:space="preserve">n </w:t>
      </w:r>
      <w:r w:rsidR="00343B0A" w:rsidRPr="00ED4D9E">
        <w:rPr>
          <w:b/>
        </w:rPr>
        <w:t xml:space="preserve">closing gaps between men and women </w:t>
      </w:r>
      <w:r w:rsidR="001B7634" w:rsidRPr="00ED4D9E">
        <w:rPr>
          <w:b/>
        </w:rPr>
        <w:t xml:space="preserve"> </w:t>
      </w:r>
    </w:p>
    <w:p w:rsidR="00B509B1" w:rsidRPr="00ED4D9E" w:rsidRDefault="00B300E8" w:rsidP="00C06B3E">
      <w:pPr>
        <w:pStyle w:val="ListParagraph"/>
        <w:tabs>
          <w:tab w:val="left" w:pos="9540"/>
        </w:tabs>
        <w:autoSpaceDE w:val="0"/>
        <w:autoSpaceDN w:val="0"/>
        <w:adjustRightInd w:val="0"/>
        <w:ind w:left="900" w:right="-72"/>
        <w:jc w:val="both"/>
        <w:rPr>
          <w:b/>
        </w:rPr>
      </w:pPr>
      <w:r w:rsidRPr="00ED4D9E">
        <w:t xml:space="preserve">The Advisory Council will </w:t>
      </w:r>
      <w:r w:rsidR="00C06B3E" w:rsidRPr="00ED4D9E">
        <w:t>discuss</w:t>
      </w:r>
      <w:r w:rsidRPr="00ED4D9E">
        <w:t xml:space="preserve"> progress </w:t>
      </w:r>
      <w:r w:rsidR="00724794" w:rsidRPr="00ED4D9E">
        <w:t xml:space="preserve">and solutions that </w:t>
      </w:r>
      <w:r w:rsidR="00BE01FA" w:rsidRPr="00ED4D9E">
        <w:t>close</w:t>
      </w:r>
      <w:r w:rsidR="00343B0A" w:rsidRPr="00ED4D9E">
        <w:t xml:space="preserve"> </w:t>
      </w:r>
      <w:r w:rsidR="00724794" w:rsidRPr="00ED4D9E">
        <w:t xml:space="preserve">key </w:t>
      </w:r>
      <w:r w:rsidR="00343B0A" w:rsidRPr="00ED4D9E">
        <w:t xml:space="preserve">gaps between males and females in economic opportunities and empowerment. </w:t>
      </w:r>
    </w:p>
    <w:p w:rsidR="00B300E8" w:rsidRPr="00ED4D9E" w:rsidRDefault="00B300E8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B509B1" w:rsidRPr="00ED4D9E" w:rsidRDefault="00B300E8" w:rsidP="00C06B3E">
      <w:pPr>
        <w:pStyle w:val="ListParagraph"/>
        <w:numPr>
          <w:ilvl w:val="0"/>
          <w:numId w:val="14"/>
        </w:numPr>
        <w:tabs>
          <w:tab w:val="left" w:pos="9540"/>
        </w:tabs>
        <w:autoSpaceDE w:val="0"/>
        <w:autoSpaceDN w:val="0"/>
        <w:adjustRightInd w:val="0"/>
        <w:ind w:right="-72"/>
        <w:jc w:val="both"/>
        <w:rPr>
          <w:b/>
        </w:rPr>
      </w:pPr>
      <w:r w:rsidRPr="00ED4D9E">
        <w:rPr>
          <w:b/>
        </w:rPr>
        <w:t>P</w:t>
      </w:r>
      <w:r w:rsidR="00F81B26" w:rsidRPr="00ED4D9E">
        <w:rPr>
          <w:b/>
        </w:rPr>
        <w:t xml:space="preserve">rovide </w:t>
      </w:r>
      <w:r w:rsidR="00244E04" w:rsidRPr="00ED4D9E">
        <w:rPr>
          <w:b/>
        </w:rPr>
        <w:t>feedback</w:t>
      </w:r>
      <w:r w:rsidR="00F81B26" w:rsidRPr="00ED4D9E">
        <w:rPr>
          <w:b/>
        </w:rPr>
        <w:t xml:space="preserve"> </w:t>
      </w:r>
      <w:r w:rsidR="001B7634" w:rsidRPr="00ED4D9E">
        <w:rPr>
          <w:b/>
        </w:rPr>
        <w:t>on</w:t>
      </w:r>
      <w:r w:rsidR="00F81B26" w:rsidRPr="00ED4D9E">
        <w:rPr>
          <w:b/>
        </w:rPr>
        <w:t xml:space="preserve"> the World Bank</w:t>
      </w:r>
      <w:r w:rsidR="002C0711" w:rsidRPr="00ED4D9E">
        <w:rPr>
          <w:b/>
        </w:rPr>
        <w:t xml:space="preserve"> Groups</w:t>
      </w:r>
      <w:r w:rsidR="00E53CEC" w:rsidRPr="00ED4D9E">
        <w:rPr>
          <w:b/>
        </w:rPr>
        <w:t>’</w:t>
      </w:r>
      <w:r w:rsidR="00F81B26" w:rsidRPr="00ED4D9E">
        <w:rPr>
          <w:b/>
        </w:rPr>
        <w:t xml:space="preserve"> work on gender equality</w:t>
      </w:r>
    </w:p>
    <w:p w:rsidR="00BE512E" w:rsidRPr="00ED4D9E" w:rsidRDefault="00B300E8" w:rsidP="00C306C9">
      <w:pPr>
        <w:pStyle w:val="ListParagraph"/>
        <w:tabs>
          <w:tab w:val="left" w:pos="9540"/>
        </w:tabs>
        <w:autoSpaceDE w:val="0"/>
        <w:autoSpaceDN w:val="0"/>
        <w:adjustRightInd w:val="0"/>
        <w:ind w:left="900" w:right="-72"/>
        <w:jc w:val="both"/>
        <w:rPr>
          <w:b/>
        </w:rPr>
      </w:pPr>
      <w:r w:rsidRPr="00ED4D9E">
        <w:t>The Advisory Council will provide ideas and recommendations to strengthen the reach and effectiveness of Bank resources committed to gender equality</w:t>
      </w:r>
      <w:r w:rsidR="00BE512E" w:rsidRPr="00ED4D9E">
        <w:t xml:space="preserve">. </w:t>
      </w:r>
      <w:r w:rsidR="00E53CEC" w:rsidRPr="00ED4D9E">
        <w:t xml:space="preserve">Focus will </w:t>
      </w:r>
      <w:proofErr w:type="gramStart"/>
      <w:r w:rsidR="00E53CEC" w:rsidRPr="00ED4D9E">
        <w:t>in particular be</w:t>
      </w:r>
      <w:proofErr w:type="gramEnd"/>
      <w:r w:rsidR="00E53CEC" w:rsidRPr="00ED4D9E">
        <w:t xml:space="preserve"> on opportunities</w:t>
      </w:r>
      <w:r w:rsidR="00BE512E" w:rsidRPr="00ED4D9E">
        <w:t xml:space="preserve"> in relation to the implementation of the World Bank Group</w:t>
      </w:r>
      <w:r w:rsidR="00C306C9" w:rsidRPr="00ED4D9E">
        <w:t>’</w:t>
      </w:r>
      <w:r w:rsidR="00BE512E" w:rsidRPr="00ED4D9E">
        <w:t xml:space="preserve">s renewed </w:t>
      </w:r>
      <w:r w:rsidR="00E53CEC" w:rsidRPr="00ED4D9E">
        <w:t>gender s</w:t>
      </w:r>
      <w:r w:rsidR="00BE512E" w:rsidRPr="00ED4D9E">
        <w:t>trategy</w:t>
      </w:r>
      <w:r w:rsidR="00E53CEC" w:rsidRPr="00ED4D9E">
        <w:t xml:space="preserve">, IDA commitments and the post 2015 development agenda. </w:t>
      </w:r>
    </w:p>
    <w:p w:rsidR="00BE512E" w:rsidRPr="00ED4D9E" w:rsidRDefault="00BE512E" w:rsidP="00C306C9">
      <w:pPr>
        <w:pStyle w:val="ListParagraph"/>
        <w:tabs>
          <w:tab w:val="left" w:pos="9540"/>
        </w:tabs>
        <w:autoSpaceDE w:val="0"/>
        <w:autoSpaceDN w:val="0"/>
        <w:adjustRightInd w:val="0"/>
        <w:ind w:left="900" w:right="-72"/>
        <w:jc w:val="both"/>
        <w:rPr>
          <w:b/>
        </w:rPr>
      </w:pPr>
    </w:p>
    <w:p w:rsidR="00B509B1" w:rsidRPr="00ED4D9E" w:rsidRDefault="00B300E8" w:rsidP="008C2155">
      <w:pPr>
        <w:pStyle w:val="ListParagraph"/>
        <w:numPr>
          <w:ilvl w:val="0"/>
          <w:numId w:val="14"/>
        </w:numPr>
        <w:tabs>
          <w:tab w:val="left" w:pos="9540"/>
        </w:tabs>
        <w:autoSpaceDE w:val="0"/>
        <w:autoSpaceDN w:val="0"/>
        <w:adjustRightInd w:val="0"/>
        <w:ind w:right="-72"/>
        <w:jc w:val="both"/>
      </w:pPr>
      <w:r w:rsidRPr="00ED4D9E">
        <w:rPr>
          <w:b/>
        </w:rPr>
        <w:t>P</w:t>
      </w:r>
      <w:r w:rsidR="001B7634" w:rsidRPr="00ED4D9E">
        <w:rPr>
          <w:b/>
        </w:rPr>
        <w:t xml:space="preserve">romote collaboration </w:t>
      </w:r>
      <w:r w:rsidR="001D0084" w:rsidRPr="00ED4D9E">
        <w:rPr>
          <w:b/>
        </w:rPr>
        <w:t>on gender and development</w:t>
      </w:r>
    </w:p>
    <w:p w:rsidR="00B509B1" w:rsidRPr="00ED4D9E" w:rsidRDefault="00B509B1" w:rsidP="00C06B3E">
      <w:pPr>
        <w:pStyle w:val="ListParagraph"/>
        <w:tabs>
          <w:tab w:val="left" w:pos="9540"/>
        </w:tabs>
        <w:autoSpaceDE w:val="0"/>
        <w:autoSpaceDN w:val="0"/>
        <w:adjustRightInd w:val="0"/>
        <w:ind w:left="900" w:right="-72"/>
        <w:jc w:val="both"/>
      </w:pPr>
      <w:r w:rsidRPr="00ED4D9E">
        <w:t xml:space="preserve">The Advisory Council will foster partnerships across the development community on activities seeking to advance women’s empowerment and gender equality, </w:t>
      </w:r>
      <w:proofErr w:type="gramStart"/>
      <w:r w:rsidR="00B300E8" w:rsidRPr="00ED4D9E">
        <w:t xml:space="preserve">in particular </w:t>
      </w:r>
      <w:r w:rsidRPr="00ED4D9E">
        <w:t>those</w:t>
      </w:r>
      <w:proofErr w:type="gramEnd"/>
      <w:r w:rsidRPr="00ED4D9E">
        <w:t xml:space="preserve"> resulting from the </w:t>
      </w:r>
      <w:r w:rsidR="00BE512E" w:rsidRPr="00ED4D9E">
        <w:t xml:space="preserve">World Bank Group’s </w:t>
      </w:r>
      <w:r w:rsidR="00E53CEC" w:rsidRPr="00ED4D9E">
        <w:t>renewed g</w:t>
      </w:r>
      <w:r w:rsidR="00BE512E" w:rsidRPr="00ED4D9E">
        <w:t xml:space="preserve">ender </w:t>
      </w:r>
      <w:r w:rsidR="00E53CEC" w:rsidRPr="00ED4D9E">
        <w:t>s</w:t>
      </w:r>
      <w:r w:rsidR="00BE512E" w:rsidRPr="00ED4D9E">
        <w:t>trategy</w:t>
      </w:r>
      <w:r w:rsidRPr="00ED4D9E">
        <w:t xml:space="preserve">. </w:t>
      </w:r>
    </w:p>
    <w:p w:rsidR="009D338A" w:rsidRPr="00ED4D9E" w:rsidRDefault="009D338A" w:rsidP="009D338A">
      <w:pPr>
        <w:tabs>
          <w:tab w:val="left" w:pos="9540"/>
        </w:tabs>
        <w:autoSpaceDE w:val="0"/>
        <w:autoSpaceDN w:val="0"/>
        <w:adjustRightInd w:val="0"/>
        <w:ind w:right="-72"/>
        <w:jc w:val="both"/>
      </w:pPr>
    </w:p>
    <w:p w:rsidR="009D338A" w:rsidRPr="00ED4D9E" w:rsidRDefault="009D338A" w:rsidP="009D338A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 w:rsidRPr="00ED4D9E">
        <w:t xml:space="preserve">The Advisory Council’s mandate expires at the end of the implementation of the World Bank Group’s Gender Strategy in 2023. </w:t>
      </w:r>
      <w:proofErr w:type="gramStart"/>
      <w:r w:rsidRPr="00ED4D9E">
        <w:t>In the event that</w:t>
      </w:r>
      <w:proofErr w:type="gramEnd"/>
      <w:r w:rsidRPr="00ED4D9E">
        <w:t xml:space="preserve"> the current Strategy term is shortened or extended, the World Bank Group will consider amendments to the term of the Advisory Council.</w:t>
      </w:r>
    </w:p>
    <w:p w:rsidR="00B004B3" w:rsidRPr="00ED4D9E" w:rsidRDefault="00B004B3">
      <w:pPr>
        <w:tabs>
          <w:tab w:val="left" w:pos="9540"/>
        </w:tabs>
        <w:autoSpaceDE w:val="0"/>
        <w:autoSpaceDN w:val="0"/>
        <w:adjustRightInd w:val="0"/>
        <w:ind w:right="-72"/>
        <w:jc w:val="both"/>
      </w:pPr>
    </w:p>
    <w:p w:rsidR="004502DA" w:rsidRPr="00ED4D9E" w:rsidRDefault="00F225B0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  <w:rPr>
          <w:b/>
        </w:rPr>
      </w:pPr>
      <w:r w:rsidRPr="00ED4D9E">
        <w:rPr>
          <w:b/>
        </w:rPr>
        <w:t xml:space="preserve">III. </w:t>
      </w:r>
      <w:r w:rsidR="004502DA" w:rsidRPr="00ED4D9E">
        <w:rPr>
          <w:b/>
        </w:rPr>
        <w:t>MEMBERSHIP</w:t>
      </w:r>
    </w:p>
    <w:p w:rsidR="004502DA" w:rsidRPr="00ED4D9E" w:rsidRDefault="004502DA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1E5BC0" w:rsidRDefault="001E5BC0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 w:rsidRPr="00ED4D9E">
        <w:t xml:space="preserve">The </w:t>
      </w:r>
      <w:r w:rsidR="00605B4F" w:rsidRPr="00ED4D9E">
        <w:t>A</w:t>
      </w:r>
      <w:r w:rsidR="00D95992" w:rsidRPr="00ED4D9E">
        <w:t xml:space="preserve">dvisory </w:t>
      </w:r>
      <w:r w:rsidR="00605B4F" w:rsidRPr="00ED4D9E">
        <w:t>C</w:t>
      </w:r>
      <w:r w:rsidR="00D95992" w:rsidRPr="00ED4D9E">
        <w:t xml:space="preserve">ouncil </w:t>
      </w:r>
      <w:r w:rsidR="0083176F" w:rsidRPr="00ED4D9E">
        <w:t xml:space="preserve">has </w:t>
      </w:r>
      <w:r w:rsidR="00E567D5" w:rsidRPr="00ED4D9E">
        <w:t xml:space="preserve">a maximum of </w:t>
      </w:r>
      <w:r w:rsidR="00212141" w:rsidRPr="00ED4D9E">
        <w:t>22</w:t>
      </w:r>
      <w:r w:rsidRPr="00ED4D9E">
        <w:t xml:space="preserve"> members</w:t>
      </w:r>
      <w:r w:rsidR="00D95992" w:rsidRPr="00ED4D9E">
        <w:t xml:space="preserve">, </w:t>
      </w:r>
      <w:r w:rsidR="00FA0B9D" w:rsidRPr="00ED4D9E">
        <w:t xml:space="preserve">who </w:t>
      </w:r>
      <w:r w:rsidR="0083176F" w:rsidRPr="00ED4D9E">
        <w:t>are</w:t>
      </w:r>
      <w:r w:rsidR="00FA0B9D" w:rsidRPr="00ED4D9E">
        <w:t xml:space="preserve"> </w:t>
      </w:r>
      <w:r w:rsidR="00B300E8" w:rsidRPr="00ED4D9E">
        <w:t>invited</w:t>
      </w:r>
      <w:r w:rsidR="00FA0B9D" w:rsidRPr="00ED4D9E">
        <w:t xml:space="preserve"> </w:t>
      </w:r>
      <w:r w:rsidRPr="00ED4D9E">
        <w:t xml:space="preserve">by the </w:t>
      </w:r>
      <w:r w:rsidR="00350E24" w:rsidRPr="00ED4D9E">
        <w:t xml:space="preserve">Managing Director </w:t>
      </w:r>
      <w:r w:rsidR="00E567D5" w:rsidRPr="00ED4D9E">
        <w:t xml:space="preserve">of the </w:t>
      </w:r>
      <w:r w:rsidR="007B4C5D" w:rsidRPr="00ED4D9E">
        <w:t>World Bank</w:t>
      </w:r>
      <w:r w:rsidR="004D6EFF" w:rsidRPr="00ED4D9E">
        <w:t xml:space="preserve"> </w:t>
      </w:r>
      <w:r w:rsidR="00E87314" w:rsidRPr="00ED4D9E">
        <w:t xml:space="preserve">and </w:t>
      </w:r>
      <w:r w:rsidR="004D6EFF" w:rsidRPr="00ED4D9E">
        <w:t>endorsed by the President</w:t>
      </w:r>
      <w:r w:rsidR="004D6EFF">
        <w:t xml:space="preserve"> of the World Bank</w:t>
      </w:r>
      <w:r w:rsidR="007711E4">
        <w:t xml:space="preserve"> Group</w:t>
      </w:r>
      <w:r w:rsidR="007A35CA">
        <w:t>.</w:t>
      </w:r>
      <w:r w:rsidR="004E05BF">
        <w:t xml:space="preserve"> </w:t>
      </w:r>
      <w:r w:rsidR="007A35CA">
        <w:t xml:space="preserve"> </w:t>
      </w:r>
      <w:r w:rsidR="00150D9B">
        <w:t xml:space="preserve">Council members serve </w:t>
      </w:r>
      <w:r w:rsidR="000A00A2">
        <w:t xml:space="preserve">a </w:t>
      </w:r>
      <w:r w:rsidR="00B300E8">
        <w:t>two</w:t>
      </w:r>
      <w:r w:rsidR="00150D9B">
        <w:t xml:space="preserve">-year term, renewable at the discretion of the </w:t>
      </w:r>
      <w:r w:rsidR="004E05BF">
        <w:t xml:space="preserve">Managing Director. </w:t>
      </w:r>
      <w:r w:rsidR="00C65500">
        <w:t xml:space="preserve">In the event a member is not able </w:t>
      </w:r>
      <w:r w:rsidR="00D93C6E">
        <w:t>to complete their term, t</w:t>
      </w:r>
      <w:r w:rsidR="001B15D7">
        <w:t xml:space="preserve">here </w:t>
      </w:r>
      <w:r w:rsidR="00D93C6E">
        <w:t xml:space="preserve">will be </w:t>
      </w:r>
      <w:r w:rsidR="001B15D7">
        <w:t>no automatic transfer of membership to a successor</w:t>
      </w:r>
      <w:r w:rsidR="00D93C6E">
        <w:t>.</w:t>
      </w:r>
      <w:r w:rsidR="001B15D7">
        <w:t xml:space="preserve"> </w:t>
      </w:r>
      <w:r w:rsidR="00D95992">
        <w:t xml:space="preserve">Council </w:t>
      </w:r>
      <w:r w:rsidR="007A35CA">
        <w:t xml:space="preserve">members </w:t>
      </w:r>
      <w:r w:rsidR="001C1AF5">
        <w:t>are drawn from</w:t>
      </w:r>
      <w:r w:rsidR="007A35CA">
        <w:t xml:space="preserve"> the following c</w:t>
      </w:r>
      <w:r w:rsidR="00B300E8">
        <w:t>onstituencies</w:t>
      </w:r>
      <w:r w:rsidR="007A35CA">
        <w:t xml:space="preserve">: </w:t>
      </w:r>
    </w:p>
    <w:p w:rsidR="009918C6" w:rsidRPr="00FA3306" w:rsidRDefault="009918C6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C81C90" w:rsidRPr="00FA3306" w:rsidRDefault="00C81C90" w:rsidP="00711D92">
      <w:pPr>
        <w:numPr>
          <w:ilvl w:val="0"/>
          <w:numId w:val="12"/>
        </w:numPr>
        <w:tabs>
          <w:tab w:val="left" w:pos="9540"/>
        </w:tabs>
        <w:autoSpaceDE w:val="0"/>
        <w:autoSpaceDN w:val="0"/>
        <w:adjustRightInd w:val="0"/>
        <w:ind w:right="-72"/>
        <w:jc w:val="both"/>
      </w:pPr>
      <w:r>
        <w:t xml:space="preserve">senior </w:t>
      </w:r>
      <w:r w:rsidR="00D95992">
        <w:t xml:space="preserve">government </w:t>
      </w:r>
      <w:r>
        <w:t>representatives</w:t>
      </w:r>
      <w:r w:rsidR="00E00F58">
        <w:t xml:space="preserve"> from </w:t>
      </w:r>
      <w:r w:rsidR="005B0F28">
        <w:t xml:space="preserve">Bank </w:t>
      </w:r>
      <w:r w:rsidR="00CF0F40">
        <w:t>client countries and shareholders</w:t>
      </w:r>
      <w:r w:rsidRPr="00FA3306">
        <w:t xml:space="preserve">; </w:t>
      </w:r>
    </w:p>
    <w:p w:rsidR="00D95992" w:rsidRDefault="00D95992" w:rsidP="00711D92">
      <w:pPr>
        <w:numPr>
          <w:ilvl w:val="0"/>
          <w:numId w:val="12"/>
        </w:numPr>
        <w:tabs>
          <w:tab w:val="left" w:pos="9540"/>
        </w:tabs>
        <w:autoSpaceDE w:val="0"/>
        <w:autoSpaceDN w:val="0"/>
        <w:adjustRightInd w:val="0"/>
        <w:ind w:right="-72"/>
        <w:jc w:val="both"/>
      </w:pPr>
      <w:r>
        <w:t>internationally recognized private sector leaders;</w:t>
      </w:r>
    </w:p>
    <w:p w:rsidR="00AB703B" w:rsidRPr="00FA3306" w:rsidRDefault="0083176F" w:rsidP="00711D92">
      <w:pPr>
        <w:numPr>
          <w:ilvl w:val="0"/>
          <w:numId w:val="12"/>
        </w:numPr>
        <w:tabs>
          <w:tab w:val="left" w:pos="9540"/>
        </w:tabs>
        <w:autoSpaceDE w:val="0"/>
        <w:autoSpaceDN w:val="0"/>
        <w:adjustRightInd w:val="0"/>
        <w:ind w:right="-72"/>
        <w:jc w:val="both"/>
      </w:pPr>
      <w:r>
        <w:t xml:space="preserve">distinguished </w:t>
      </w:r>
      <w:r w:rsidR="007A35CA">
        <w:t xml:space="preserve">experts in </w:t>
      </w:r>
      <w:r w:rsidR="004E05BF">
        <w:t>areas and countries relevant to the WBG gender strategy</w:t>
      </w:r>
      <w:r w:rsidR="00343B0A">
        <w:t>;</w:t>
      </w:r>
      <w:r w:rsidR="004E05BF">
        <w:t xml:space="preserve"> </w:t>
      </w:r>
    </w:p>
    <w:p w:rsidR="00B21234" w:rsidRDefault="00605B4F" w:rsidP="00711D92">
      <w:pPr>
        <w:numPr>
          <w:ilvl w:val="0"/>
          <w:numId w:val="12"/>
        </w:numPr>
        <w:tabs>
          <w:tab w:val="left" w:pos="9540"/>
        </w:tabs>
        <w:autoSpaceDE w:val="0"/>
        <w:autoSpaceDN w:val="0"/>
        <w:adjustRightInd w:val="0"/>
        <w:ind w:right="-72"/>
        <w:jc w:val="both"/>
      </w:pPr>
      <w:r>
        <w:t xml:space="preserve">civil society </w:t>
      </w:r>
      <w:r w:rsidR="00E03A08">
        <w:t>leaders</w:t>
      </w:r>
      <w:r w:rsidR="004E05BF">
        <w:t xml:space="preserve"> in countries and fields relevant to the WBG gender strategy</w:t>
      </w:r>
      <w:r w:rsidR="00D95992">
        <w:t>.</w:t>
      </w:r>
    </w:p>
    <w:p w:rsidR="00631847" w:rsidRPr="00FA3306" w:rsidRDefault="00631847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D55945" w:rsidRDefault="00D55945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  <w:rPr>
          <w:b/>
        </w:rPr>
      </w:pPr>
    </w:p>
    <w:p w:rsidR="001E5BC0" w:rsidRPr="00FA3306" w:rsidRDefault="00CA1C2A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  <w:rPr>
          <w:b/>
        </w:rPr>
      </w:pPr>
      <w:r w:rsidRPr="00FA3306">
        <w:rPr>
          <w:b/>
        </w:rPr>
        <w:t>I</w:t>
      </w:r>
      <w:r>
        <w:rPr>
          <w:b/>
        </w:rPr>
        <w:t>V</w:t>
      </w:r>
      <w:r w:rsidR="001E5BC0" w:rsidRPr="00FA3306">
        <w:rPr>
          <w:b/>
        </w:rPr>
        <w:t>. ADVISORY COUNCIL MEETINGS</w:t>
      </w:r>
    </w:p>
    <w:p w:rsidR="00631847" w:rsidRPr="00FA3306" w:rsidRDefault="00631847" w:rsidP="00711D92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</w:p>
    <w:p w:rsidR="0083176F" w:rsidRPr="00D96051" w:rsidRDefault="002E7F68" w:rsidP="00EE2347">
      <w:pPr>
        <w:tabs>
          <w:tab w:val="left" w:pos="9540"/>
        </w:tabs>
        <w:autoSpaceDE w:val="0"/>
        <w:autoSpaceDN w:val="0"/>
        <w:adjustRightInd w:val="0"/>
        <w:ind w:left="180" w:right="-72"/>
        <w:jc w:val="both"/>
      </w:pPr>
      <w:r>
        <w:t xml:space="preserve">The Advisory Council </w:t>
      </w:r>
      <w:r w:rsidR="00D95992">
        <w:t>meet</w:t>
      </w:r>
      <w:r w:rsidR="0083176F">
        <w:t>s</w:t>
      </w:r>
      <w:r w:rsidR="00B300E8">
        <w:t xml:space="preserve"> </w:t>
      </w:r>
      <w:r w:rsidR="004E05BF">
        <w:t xml:space="preserve">in person </w:t>
      </w:r>
      <w:r w:rsidR="006C1F78">
        <w:t>or</w:t>
      </w:r>
      <w:r w:rsidR="006C1F78" w:rsidRPr="006C1F78">
        <w:t xml:space="preserve"> </w:t>
      </w:r>
      <w:r w:rsidR="006C1F78">
        <w:t xml:space="preserve">virtually </w:t>
      </w:r>
      <w:r w:rsidR="003535A3">
        <w:t>twice</w:t>
      </w:r>
      <w:r w:rsidR="00B300E8">
        <w:t xml:space="preserve"> a year</w:t>
      </w:r>
      <w:r w:rsidR="00BE512E">
        <w:t xml:space="preserve">. </w:t>
      </w:r>
      <w:r w:rsidR="004E05BF">
        <w:t xml:space="preserve"> </w:t>
      </w:r>
      <w:r w:rsidR="00D95992">
        <w:t xml:space="preserve">The </w:t>
      </w:r>
      <w:r w:rsidR="00450234">
        <w:t xml:space="preserve">Managing Director </w:t>
      </w:r>
      <w:r w:rsidR="00D95992">
        <w:t>of the World Bank</w:t>
      </w:r>
      <w:r w:rsidR="00D95992" w:rsidRPr="00FA3306">
        <w:t xml:space="preserve"> appr</w:t>
      </w:r>
      <w:r w:rsidR="00D95992">
        <w:t>ove</w:t>
      </w:r>
      <w:r w:rsidR="0083176F">
        <w:t>s</w:t>
      </w:r>
      <w:r w:rsidR="00D95992">
        <w:t xml:space="preserve"> </w:t>
      </w:r>
      <w:r w:rsidR="00D95992" w:rsidRPr="00FA3306">
        <w:t xml:space="preserve">meeting agendas and </w:t>
      </w:r>
      <w:r w:rsidR="00D95992">
        <w:t>chair</w:t>
      </w:r>
      <w:r w:rsidR="0083176F">
        <w:t>s</w:t>
      </w:r>
      <w:r w:rsidR="00D95992">
        <w:t xml:space="preserve"> Advisory </w:t>
      </w:r>
      <w:r w:rsidR="00D95992" w:rsidRPr="00FA3306">
        <w:t>Council meetings</w:t>
      </w:r>
      <w:r w:rsidR="004E05BF">
        <w:t>.</w:t>
      </w:r>
      <w:r w:rsidR="001C5219">
        <w:t xml:space="preserve"> </w:t>
      </w:r>
      <w:r w:rsidR="00E7090B">
        <w:t xml:space="preserve">Senior </w:t>
      </w:r>
      <w:r w:rsidR="00F225B0">
        <w:t xml:space="preserve">World </w:t>
      </w:r>
      <w:r w:rsidR="0083176F">
        <w:t>Bank Group staff</w:t>
      </w:r>
      <w:r w:rsidR="00B300E8">
        <w:t xml:space="preserve"> and other </w:t>
      </w:r>
      <w:r w:rsidR="00E7090B">
        <w:t xml:space="preserve">high-level </w:t>
      </w:r>
      <w:r w:rsidR="00B300E8">
        <w:t>experts</w:t>
      </w:r>
      <w:r w:rsidR="0083176F">
        <w:t xml:space="preserve"> will be invited </w:t>
      </w:r>
      <w:r w:rsidR="00244E04">
        <w:t xml:space="preserve">to participate </w:t>
      </w:r>
      <w:r w:rsidR="0083176F">
        <w:t>as appropriate</w:t>
      </w:r>
      <w:r w:rsidR="002F28CC">
        <w:t>.</w:t>
      </w:r>
      <w:r w:rsidR="0083176F">
        <w:t xml:space="preserve"> </w:t>
      </w:r>
    </w:p>
    <w:sectPr w:rsidR="0083176F" w:rsidRPr="00D96051" w:rsidSect="00711D92">
      <w:footerReference w:type="even" r:id="rId8"/>
      <w:footerReference w:type="default" r:id="rId9"/>
      <w:pgSz w:w="12240" w:h="15840"/>
      <w:pgMar w:top="1296" w:right="1800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56" w:rsidRDefault="00C44656">
      <w:r>
        <w:separator/>
      </w:r>
    </w:p>
  </w:endnote>
  <w:endnote w:type="continuationSeparator" w:id="0">
    <w:p w:rsidR="00C44656" w:rsidRDefault="00C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E1" w:rsidRDefault="00E27F03" w:rsidP="000468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E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EE1" w:rsidRDefault="00F25EE1" w:rsidP="00C81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E1" w:rsidRPr="00F3557A" w:rsidRDefault="00E27F03" w:rsidP="00046823">
    <w:pPr>
      <w:pStyle w:val="Footer"/>
      <w:framePr w:wrap="around" w:vAnchor="text" w:hAnchor="margin" w:xAlign="right" w:y="1"/>
      <w:rPr>
        <w:rStyle w:val="PageNumber"/>
        <w:i/>
        <w:sz w:val="20"/>
        <w:szCs w:val="20"/>
      </w:rPr>
    </w:pPr>
    <w:r>
      <w:rPr>
        <w:rStyle w:val="PageNumber"/>
      </w:rPr>
      <w:fldChar w:fldCharType="begin"/>
    </w:r>
    <w:r w:rsidR="00F25E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1A3">
      <w:rPr>
        <w:rStyle w:val="PageNumber"/>
        <w:noProof/>
      </w:rPr>
      <w:t>2</w:t>
    </w:r>
    <w:r>
      <w:rPr>
        <w:rStyle w:val="PageNumber"/>
      </w:rPr>
      <w:fldChar w:fldCharType="end"/>
    </w:r>
  </w:p>
  <w:p w:rsidR="00F25EE1" w:rsidRPr="00F3557A" w:rsidRDefault="00F50A62" w:rsidP="00C81C90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Gender CCSA</w:t>
    </w:r>
    <w:r w:rsidR="00F25EE1" w:rsidRPr="00F3557A">
      <w:rPr>
        <w:i/>
        <w:sz w:val="20"/>
        <w:szCs w:val="20"/>
      </w:rPr>
      <w:t>, World Bank</w:t>
    </w:r>
    <w:r w:rsidR="00F225B0">
      <w:rPr>
        <w:i/>
        <w:sz w:val="20"/>
        <w:szCs w:val="20"/>
      </w:rPr>
      <w:t xml:space="preserve">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56" w:rsidRDefault="00C44656">
      <w:r>
        <w:separator/>
      </w:r>
    </w:p>
  </w:footnote>
  <w:footnote w:type="continuationSeparator" w:id="0">
    <w:p w:rsidR="00C44656" w:rsidRDefault="00C4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C8F202"/>
    <w:lvl w:ilvl="0">
      <w:numFmt w:val="bullet"/>
      <w:lvlText w:val="*"/>
      <w:lvlJc w:val="left"/>
    </w:lvl>
  </w:abstractNum>
  <w:abstractNum w:abstractNumId="1" w15:restartNumberingAfterBreak="0">
    <w:nsid w:val="02661EE9"/>
    <w:multiLevelType w:val="hybridMultilevel"/>
    <w:tmpl w:val="1A76A7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062B70"/>
    <w:multiLevelType w:val="hybridMultilevel"/>
    <w:tmpl w:val="6034248E"/>
    <w:lvl w:ilvl="0" w:tplc="E2E87B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CE3"/>
    <w:multiLevelType w:val="hybridMultilevel"/>
    <w:tmpl w:val="19842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158"/>
    <w:multiLevelType w:val="hybridMultilevel"/>
    <w:tmpl w:val="22B4AB36"/>
    <w:lvl w:ilvl="0" w:tplc="D60C333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6E4ECF"/>
    <w:multiLevelType w:val="hybridMultilevel"/>
    <w:tmpl w:val="35E87A8A"/>
    <w:lvl w:ilvl="0" w:tplc="E2E87B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F3618"/>
    <w:multiLevelType w:val="hybridMultilevel"/>
    <w:tmpl w:val="EBE06DEE"/>
    <w:lvl w:ilvl="0" w:tplc="E2E87B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084B"/>
    <w:multiLevelType w:val="hybridMultilevel"/>
    <w:tmpl w:val="9C20DE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E7540"/>
    <w:multiLevelType w:val="hybridMultilevel"/>
    <w:tmpl w:val="EC5899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675D"/>
    <w:multiLevelType w:val="hybridMultilevel"/>
    <w:tmpl w:val="6A9A0D0E"/>
    <w:lvl w:ilvl="0" w:tplc="E2E87B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A5AC5"/>
    <w:multiLevelType w:val="hybridMultilevel"/>
    <w:tmpl w:val="965CD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89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30DF3"/>
    <w:multiLevelType w:val="hybridMultilevel"/>
    <w:tmpl w:val="C26AED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5080C"/>
    <w:multiLevelType w:val="multilevel"/>
    <w:tmpl w:val="35E87A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CC1ACD"/>
    <w:multiLevelType w:val="multilevel"/>
    <w:tmpl w:val="965CD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0"/>
    <w:rsid w:val="000071C8"/>
    <w:rsid w:val="0002028C"/>
    <w:rsid w:val="00033EEF"/>
    <w:rsid w:val="000355E9"/>
    <w:rsid w:val="0004023D"/>
    <w:rsid w:val="00046823"/>
    <w:rsid w:val="00065BD8"/>
    <w:rsid w:val="00073E5E"/>
    <w:rsid w:val="00074D63"/>
    <w:rsid w:val="000947A6"/>
    <w:rsid w:val="000A00A2"/>
    <w:rsid w:val="000A5807"/>
    <w:rsid w:val="000B6255"/>
    <w:rsid w:val="000E22D6"/>
    <w:rsid w:val="0010153D"/>
    <w:rsid w:val="001053F1"/>
    <w:rsid w:val="00105552"/>
    <w:rsid w:val="0014697B"/>
    <w:rsid w:val="00150D9B"/>
    <w:rsid w:val="00152CE4"/>
    <w:rsid w:val="00156DF7"/>
    <w:rsid w:val="00163ACC"/>
    <w:rsid w:val="00167617"/>
    <w:rsid w:val="0017462A"/>
    <w:rsid w:val="00190E8B"/>
    <w:rsid w:val="001A6058"/>
    <w:rsid w:val="001B15D7"/>
    <w:rsid w:val="001B7634"/>
    <w:rsid w:val="001C1AF5"/>
    <w:rsid w:val="001C5219"/>
    <w:rsid w:val="001D0084"/>
    <w:rsid w:val="001D2D61"/>
    <w:rsid w:val="001D6116"/>
    <w:rsid w:val="001D71EB"/>
    <w:rsid w:val="001E5BC0"/>
    <w:rsid w:val="001F1907"/>
    <w:rsid w:val="00204E7A"/>
    <w:rsid w:val="00212141"/>
    <w:rsid w:val="002263FA"/>
    <w:rsid w:val="00232C43"/>
    <w:rsid w:val="002365DA"/>
    <w:rsid w:val="002445DB"/>
    <w:rsid w:val="00244E04"/>
    <w:rsid w:val="00245FCB"/>
    <w:rsid w:val="002503FA"/>
    <w:rsid w:val="00273F21"/>
    <w:rsid w:val="00277C19"/>
    <w:rsid w:val="00283A11"/>
    <w:rsid w:val="002C0420"/>
    <w:rsid w:val="002C0711"/>
    <w:rsid w:val="002C6734"/>
    <w:rsid w:val="002C7B0E"/>
    <w:rsid w:val="002E7F68"/>
    <w:rsid w:val="002F28CC"/>
    <w:rsid w:val="0032625D"/>
    <w:rsid w:val="00327669"/>
    <w:rsid w:val="00327A68"/>
    <w:rsid w:val="00337446"/>
    <w:rsid w:val="003409D1"/>
    <w:rsid w:val="00341E2D"/>
    <w:rsid w:val="003423B5"/>
    <w:rsid w:val="00343B0A"/>
    <w:rsid w:val="00343F4F"/>
    <w:rsid w:val="00350E24"/>
    <w:rsid w:val="003535A3"/>
    <w:rsid w:val="0036792C"/>
    <w:rsid w:val="003714C8"/>
    <w:rsid w:val="00372D97"/>
    <w:rsid w:val="00395F72"/>
    <w:rsid w:val="003A26A0"/>
    <w:rsid w:val="003C0CC6"/>
    <w:rsid w:val="003D3014"/>
    <w:rsid w:val="003E33E1"/>
    <w:rsid w:val="003F24EC"/>
    <w:rsid w:val="00412C5F"/>
    <w:rsid w:val="0043509C"/>
    <w:rsid w:val="00444F63"/>
    <w:rsid w:val="00450234"/>
    <w:rsid w:val="004502DA"/>
    <w:rsid w:val="0046034B"/>
    <w:rsid w:val="00465258"/>
    <w:rsid w:val="004D5600"/>
    <w:rsid w:val="004D6EFF"/>
    <w:rsid w:val="004E05BF"/>
    <w:rsid w:val="004F43A7"/>
    <w:rsid w:val="004F6ECA"/>
    <w:rsid w:val="00500BEF"/>
    <w:rsid w:val="00501C4C"/>
    <w:rsid w:val="00514BED"/>
    <w:rsid w:val="00527C62"/>
    <w:rsid w:val="00541A1D"/>
    <w:rsid w:val="00550EB8"/>
    <w:rsid w:val="00586C01"/>
    <w:rsid w:val="005907FE"/>
    <w:rsid w:val="005938C8"/>
    <w:rsid w:val="005A1378"/>
    <w:rsid w:val="005A1619"/>
    <w:rsid w:val="005B0F28"/>
    <w:rsid w:val="005C725F"/>
    <w:rsid w:val="00605B4F"/>
    <w:rsid w:val="006274DD"/>
    <w:rsid w:val="00631847"/>
    <w:rsid w:val="00637F10"/>
    <w:rsid w:val="00642196"/>
    <w:rsid w:val="00654DE3"/>
    <w:rsid w:val="00655D75"/>
    <w:rsid w:val="006770D6"/>
    <w:rsid w:val="0068448B"/>
    <w:rsid w:val="006970F4"/>
    <w:rsid w:val="006A2EDC"/>
    <w:rsid w:val="006B5A08"/>
    <w:rsid w:val="006C1F78"/>
    <w:rsid w:val="006F23A0"/>
    <w:rsid w:val="006F5068"/>
    <w:rsid w:val="006F75B3"/>
    <w:rsid w:val="007069C8"/>
    <w:rsid w:val="00711D92"/>
    <w:rsid w:val="00724794"/>
    <w:rsid w:val="00730855"/>
    <w:rsid w:val="00756774"/>
    <w:rsid w:val="00763F2C"/>
    <w:rsid w:val="007711E4"/>
    <w:rsid w:val="007744E0"/>
    <w:rsid w:val="0077515C"/>
    <w:rsid w:val="007817A7"/>
    <w:rsid w:val="00784D0D"/>
    <w:rsid w:val="00787F8E"/>
    <w:rsid w:val="007A35CA"/>
    <w:rsid w:val="007A56AC"/>
    <w:rsid w:val="007B4C5D"/>
    <w:rsid w:val="007B71C6"/>
    <w:rsid w:val="007C0198"/>
    <w:rsid w:val="007D513B"/>
    <w:rsid w:val="007E31BA"/>
    <w:rsid w:val="00822517"/>
    <w:rsid w:val="00825047"/>
    <w:rsid w:val="0083176F"/>
    <w:rsid w:val="00853130"/>
    <w:rsid w:val="008548D4"/>
    <w:rsid w:val="0085570B"/>
    <w:rsid w:val="008968CF"/>
    <w:rsid w:val="00896D35"/>
    <w:rsid w:val="00897A47"/>
    <w:rsid w:val="008A5B2B"/>
    <w:rsid w:val="008C2155"/>
    <w:rsid w:val="008D1223"/>
    <w:rsid w:val="008E52F3"/>
    <w:rsid w:val="008E6091"/>
    <w:rsid w:val="008E6D03"/>
    <w:rsid w:val="009007C1"/>
    <w:rsid w:val="00900E89"/>
    <w:rsid w:val="00921FFE"/>
    <w:rsid w:val="00922005"/>
    <w:rsid w:val="0092606F"/>
    <w:rsid w:val="009341A3"/>
    <w:rsid w:val="00940C2E"/>
    <w:rsid w:val="00951383"/>
    <w:rsid w:val="00974AFB"/>
    <w:rsid w:val="00990BE1"/>
    <w:rsid w:val="009918C6"/>
    <w:rsid w:val="009963E5"/>
    <w:rsid w:val="009A7334"/>
    <w:rsid w:val="009B540E"/>
    <w:rsid w:val="009C0E6A"/>
    <w:rsid w:val="009C3888"/>
    <w:rsid w:val="009C3F07"/>
    <w:rsid w:val="009D338A"/>
    <w:rsid w:val="009E09D7"/>
    <w:rsid w:val="009E7C79"/>
    <w:rsid w:val="009F1AB3"/>
    <w:rsid w:val="00A00D81"/>
    <w:rsid w:val="00A117D7"/>
    <w:rsid w:val="00A15339"/>
    <w:rsid w:val="00A20891"/>
    <w:rsid w:val="00A22B74"/>
    <w:rsid w:val="00A36124"/>
    <w:rsid w:val="00A4014A"/>
    <w:rsid w:val="00A52C11"/>
    <w:rsid w:val="00A5455B"/>
    <w:rsid w:val="00A548D1"/>
    <w:rsid w:val="00A841E8"/>
    <w:rsid w:val="00A93539"/>
    <w:rsid w:val="00AA0905"/>
    <w:rsid w:val="00AA2B18"/>
    <w:rsid w:val="00AB3E0B"/>
    <w:rsid w:val="00AB5D56"/>
    <w:rsid w:val="00AB703B"/>
    <w:rsid w:val="00AE15CE"/>
    <w:rsid w:val="00AF1A48"/>
    <w:rsid w:val="00B004B3"/>
    <w:rsid w:val="00B01287"/>
    <w:rsid w:val="00B06EC7"/>
    <w:rsid w:val="00B106BB"/>
    <w:rsid w:val="00B21234"/>
    <w:rsid w:val="00B300E8"/>
    <w:rsid w:val="00B32F5D"/>
    <w:rsid w:val="00B37870"/>
    <w:rsid w:val="00B46FA3"/>
    <w:rsid w:val="00B509B1"/>
    <w:rsid w:val="00B55ACF"/>
    <w:rsid w:val="00B610CA"/>
    <w:rsid w:val="00B807D7"/>
    <w:rsid w:val="00B8473E"/>
    <w:rsid w:val="00B864B4"/>
    <w:rsid w:val="00B87AA9"/>
    <w:rsid w:val="00BB539F"/>
    <w:rsid w:val="00BB733B"/>
    <w:rsid w:val="00BB7A91"/>
    <w:rsid w:val="00BC6201"/>
    <w:rsid w:val="00BC6F86"/>
    <w:rsid w:val="00BD1312"/>
    <w:rsid w:val="00BE01FA"/>
    <w:rsid w:val="00BE512E"/>
    <w:rsid w:val="00BE6866"/>
    <w:rsid w:val="00BF0427"/>
    <w:rsid w:val="00BF3724"/>
    <w:rsid w:val="00C06B3E"/>
    <w:rsid w:val="00C077CA"/>
    <w:rsid w:val="00C120E2"/>
    <w:rsid w:val="00C24AFC"/>
    <w:rsid w:val="00C306C9"/>
    <w:rsid w:val="00C35FAA"/>
    <w:rsid w:val="00C408F6"/>
    <w:rsid w:val="00C44656"/>
    <w:rsid w:val="00C51957"/>
    <w:rsid w:val="00C60CA5"/>
    <w:rsid w:val="00C65500"/>
    <w:rsid w:val="00C81C90"/>
    <w:rsid w:val="00C85BA3"/>
    <w:rsid w:val="00C97B1A"/>
    <w:rsid w:val="00CA1C2A"/>
    <w:rsid w:val="00CC035A"/>
    <w:rsid w:val="00CC0499"/>
    <w:rsid w:val="00CC24A1"/>
    <w:rsid w:val="00CE09A4"/>
    <w:rsid w:val="00CE3998"/>
    <w:rsid w:val="00CE48FA"/>
    <w:rsid w:val="00CF0F40"/>
    <w:rsid w:val="00CF70A8"/>
    <w:rsid w:val="00D062F6"/>
    <w:rsid w:val="00D55945"/>
    <w:rsid w:val="00D61AF2"/>
    <w:rsid w:val="00D6420C"/>
    <w:rsid w:val="00D8326A"/>
    <w:rsid w:val="00D84D2B"/>
    <w:rsid w:val="00D901CB"/>
    <w:rsid w:val="00D93C6E"/>
    <w:rsid w:val="00D95992"/>
    <w:rsid w:val="00D96051"/>
    <w:rsid w:val="00DA7482"/>
    <w:rsid w:val="00DB586A"/>
    <w:rsid w:val="00DD1F11"/>
    <w:rsid w:val="00DE31CB"/>
    <w:rsid w:val="00DE34FB"/>
    <w:rsid w:val="00DE40BD"/>
    <w:rsid w:val="00DF49A3"/>
    <w:rsid w:val="00E00F58"/>
    <w:rsid w:val="00E03A08"/>
    <w:rsid w:val="00E22B8A"/>
    <w:rsid w:val="00E27F03"/>
    <w:rsid w:val="00E31575"/>
    <w:rsid w:val="00E53CEC"/>
    <w:rsid w:val="00E567D5"/>
    <w:rsid w:val="00E64EDA"/>
    <w:rsid w:val="00E7090B"/>
    <w:rsid w:val="00E75079"/>
    <w:rsid w:val="00E87314"/>
    <w:rsid w:val="00EA4E15"/>
    <w:rsid w:val="00EC04C7"/>
    <w:rsid w:val="00ED4D9E"/>
    <w:rsid w:val="00EE2347"/>
    <w:rsid w:val="00EF1343"/>
    <w:rsid w:val="00EF5C06"/>
    <w:rsid w:val="00EF7E48"/>
    <w:rsid w:val="00F17B09"/>
    <w:rsid w:val="00F225B0"/>
    <w:rsid w:val="00F22DA1"/>
    <w:rsid w:val="00F259A5"/>
    <w:rsid w:val="00F25EE1"/>
    <w:rsid w:val="00F2751C"/>
    <w:rsid w:val="00F30982"/>
    <w:rsid w:val="00F3557A"/>
    <w:rsid w:val="00F50A62"/>
    <w:rsid w:val="00F52247"/>
    <w:rsid w:val="00F81B26"/>
    <w:rsid w:val="00F8418A"/>
    <w:rsid w:val="00F91F2D"/>
    <w:rsid w:val="00F92235"/>
    <w:rsid w:val="00F94263"/>
    <w:rsid w:val="00FA0B9D"/>
    <w:rsid w:val="00FA1D82"/>
    <w:rsid w:val="00FA3306"/>
    <w:rsid w:val="00FA5716"/>
    <w:rsid w:val="00FC199B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BFC06"/>
  <w15:docId w15:val="{70E67DBB-CF79-4061-B1A8-1A5760A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45FC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062F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062F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7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4D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4D63"/>
    <w:rPr>
      <w:b/>
      <w:bCs/>
    </w:rPr>
  </w:style>
  <w:style w:type="paragraph" w:styleId="BalloonText">
    <w:name w:val="Balloon Text"/>
    <w:basedOn w:val="Normal"/>
    <w:semiHidden/>
    <w:rsid w:val="00074D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81C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C90"/>
  </w:style>
  <w:style w:type="paragraph" w:styleId="Header">
    <w:name w:val="header"/>
    <w:basedOn w:val="Normal"/>
    <w:rsid w:val="00F355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AB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4D560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6336-CA9C-459D-B7C8-EEEB038E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Inter-American Development Bank</vt:lpstr>
    </vt:vector>
  </TitlesOfParts>
  <Company>The World Bank Group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Inter-American Development Bank</dc:title>
  <dc:creator>wb173541</dc:creator>
  <cp:lastModifiedBy>Mirai Maruo</cp:lastModifiedBy>
  <cp:revision>3</cp:revision>
  <cp:lastPrinted>2015-10-16T16:09:00Z</cp:lastPrinted>
  <dcterms:created xsi:type="dcterms:W3CDTF">2016-09-21T22:51:00Z</dcterms:created>
  <dcterms:modified xsi:type="dcterms:W3CDTF">2018-01-24T21:52:00Z</dcterms:modified>
</cp:coreProperties>
</file>