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8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776"/>
        <w:gridCol w:w="55"/>
        <w:gridCol w:w="2832"/>
        <w:gridCol w:w="38"/>
        <w:gridCol w:w="3075"/>
        <w:gridCol w:w="15"/>
        <w:gridCol w:w="7"/>
      </w:tblGrid>
      <w:tr w:rsidR="007149CE" w:rsidRPr="007149CE" w:rsidTr="007F5EEB">
        <w:trPr>
          <w:gridAfter w:val="1"/>
          <w:wAfter w:w="7" w:type="dxa"/>
        </w:trPr>
        <w:tc>
          <w:tcPr>
            <w:tcW w:w="3776" w:type="dxa"/>
          </w:tcPr>
          <w:p w:rsidR="00DA6747" w:rsidRPr="007149CE" w:rsidRDefault="00442D8D" w:rsidP="00442D8D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b/>
                <w:snapToGrid w:val="0"/>
                <w:sz w:val="16"/>
                <w:szCs w:val="16"/>
              </w:rPr>
              <w:br/>
            </w:r>
            <w:r w:rsidR="003D01C6" w:rsidRPr="007149CE">
              <w:rPr>
                <w:rFonts w:ascii="Trebuchet MS" w:hAnsi="Trebuchet MS"/>
                <w:b/>
                <w:snapToGrid w:val="0"/>
                <w:sz w:val="16"/>
                <w:szCs w:val="16"/>
              </w:rPr>
              <w:t xml:space="preserve">Effective </w:t>
            </w:r>
            <w:r w:rsidR="00163F72" w:rsidRPr="007149CE">
              <w:rPr>
                <w:rFonts w:ascii="Trebuchet MS" w:hAnsi="Trebuchet MS"/>
                <w:b/>
                <w:snapToGrid w:val="0"/>
                <w:sz w:val="16"/>
                <w:szCs w:val="16"/>
              </w:rPr>
              <w:t>January 1, 20</w:t>
            </w:r>
            <w:r w:rsidR="00527026" w:rsidRPr="007149CE">
              <w:rPr>
                <w:rFonts w:ascii="Trebuchet MS" w:hAnsi="Trebuchet MS"/>
                <w:b/>
                <w:snapToGrid w:val="0"/>
                <w:sz w:val="16"/>
                <w:szCs w:val="16"/>
              </w:rPr>
              <w:t>1</w:t>
            </w:r>
            <w:r w:rsidR="002147EE">
              <w:rPr>
                <w:rFonts w:ascii="Trebuchet MS" w:hAnsi="Trebuchet MS"/>
                <w:b/>
                <w:snapToGrid w:val="0"/>
                <w:sz w:val="16"/>
                <w:szCs w:val="16"/>
              </w:rPr>
              <w:t>8</w:t>
            </w:r>
          </w:p>
        </w:tc>
        <w:tc>
          <w:tcPr>
            <w:tcW w:w="2925" w:type="dxa"/>
            <w:gridSpan w:val="3"/>
          </w:tcPr>
          <w:p w:rsidR="006E36A1" w:rsidRPr="007149CE" w:rsidRDefault="008771C3" w:rsidP="008771C3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br/>
            </w:r>
            <w:r w:rsidR="002147E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Services rendered in the U.S. (In-Network)</w:t>
            </w:r>
          </w:p>
        </w:tc>
        <w:tc>
          <w:tcPr>
            <w:tcW w:w="3090" w:type="dxa"/>
            <w:gridSpan w:val="2"/>
          </w:tcPr>
          <w:p w:rsidR="007149CE" w:rsidRPr="007149CE" w:rsidRDefault="007149CE" w:rsidP="009B614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</w:p>
          <w:p w:rsidR="006E36A1" w:rsidRPr="007149CE" w:rsidRDefault="002147EE" w:rsidP="009B614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Services rendered in the U.S. (Out-of-Network)</w:t>
            </w:r>
            <w:r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br/>
              <w:t>Services rendered outside the U.S.</w:t>
            </w:r>
          </w:p>
        </w:tc>
      </w:tr>
      <w:tr w:rsidR="006E36A1" w:rsidRPr="007149CE" w:rsidTr="007F5EEB">
        <w:trPr>
          <w:gridAfter w:val="1"/>
          <w:wAfter w:w="7" w:type="dxa"/>
          <w:cantSplit/>
        </w:trPr>
        <w:tc>
          <w:tcPr>
            <w:tcW w:w="9791" w:type="dxa"/>
            <w:gridSpan w:val="6"/>
            <w:shd w:val="pct12" w:color="000000" w:fill="FFFFFF"/>
          </w:tcPr>
          <w:p w:rsidR="006E36A1" w:rsidRPr="007149CE" w:rsidRDefault="006E36A1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General</w:t>
            </w:r>
          </w:p>
        </w:tc>
      </w:tr>
      <w:tr w:rsidR="007F5EEB" w:rsidRPr="007149CE" w:rsidTr="007F5EEB">
        <w:trPr>
          <w:gridAfter w:val="1"/>
          <w:wAfter w:w="7" w:type="dxa"/>
          <w:cantSplit/>
        </w:trPr>
        <w:tc>
          <w:tcPr>
            <w:tcW w:w="9791" w:type="dxa"/>
            <w:gridSpan w:val="6"/>
            <w:shd w:val="pct12" w:color="000000" w:fill="FFFFFF"/>
          </w:tcPr>
          <w:p w:rsidR="007F5EEB" w:rsidRPr="00DA6747" w:rsidRDefault="007F5EEB" w:rsidP="004E2E7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A plan year is a calendar year, January 1 through December 31</w:t>
            </w:r>
          </w:p>
        </w:tc>
      </w:tr>
      <w:tr w:rsidR="007149CE" w:rsidRPr="007149CE" w:rsidTr="007F5EEB">
        <w:trPr>
          <w:gridAfter w:val="1"/>
          <w:wAfter w:w="7" w:type="dxa"/>
          <w:cantSplit/>
        </w:trPr>
        <w:tc>
          <w:tcPr>
            <w:tcW w:w="3776" w:type="dxa"/>
          </w:tcPr>
          <w:p w:rsidR="004033EA" w:rsidRPr="007149CE" w:rsidRDefault="004033EA" w:rsidP="00AB7F6D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Medical </w:t>
            </w:r>
            <w:r w:rsidR="00AB7F6D">
              <w:rPr>
                <w:rFonts w:ascii="Trebuchet MS" w:hAnsi="Trebuchet MS"/>
                <w:snapToGrid w:val="0"/>
                <w:sz w:val="16"/>
                <w:szCs w:val="16"/>
              </w:rPr>
              <w:t>d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eductible (per person)</w:t>
            </w:r>
          </w:p>
        </w:tc>
        <w:tc>
          <w:tcPr>
            <w:tcW w:w="6015" w:type="dxa"/>
            <w:gridSpan w:val="5"/>
          </w:tcPr>
          <w:p w:rsidR="004033EA" w:rsidRPr="007149CE" w:rsidRDefault="004033EA" w:rsidP="007142FA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</w:t>
            </w:r>
            <w:r w:rsidR="00362DB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4</w:t>
            </w:r>
            <w:r w:rsidR="007142FA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0</w:t>
            </w:r>
            <w:r w:rsidR="00362DB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0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per </w:t>
            </w:r>
            <w:r w:rsidR="005975F2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plan </w:t>
            </w:r>
            <w:r w:rsidR="005975F2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year</w:t>
            </w:r>
          </w:p>
        </w:tc>
      </w:tr>
      <w:tr w:rsidR="007149CE" w:rsidRPr="007149CE" w:rsidTr="007F5EEB">
        <w:trPr>
          <w:gridAfter w:val="1"/>
          <w:wAfter w:w="7" w:type="dxa"/>
          <w:cantSplit/>
        </w:trPr>
        <w:tc>
          <w:tcPr>
            <w:tcW w:w="3776" w:type="dxa"/>
          </w:tcPr>
          <w:p w:rsidR="004033EA" w:rsidRPr="007149CE" w:rsidRDefault="004033EA" w:rsidP="00AB7F6D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Medical </w:t>
            </w:r>
            <w:r w:rsidR="00AB7F6D">
              <w:rPr>
                <w:rFonts w:ascii="Trebuchet MS" w:hAnsi="Trebuchet MS"/>
                <w:snapToGrid w:val="0"/>
                <w:sz w:val="16"/>
                <w:szCs w:val="16"/>
              </w:rPr>
              <w:t>d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eductible (per family)</w:t>
            </w:r>
          </w:p>
        </w:tc>
        <w:tc>
          <w:tcPr>
            <w:tcW w:w="6015" w:type="dxa"/>
            <w:gridSpan w:val="5"/>
          </w:tcPr>
          <w:p w:rsidR="004033EA" w:rsidRPr="007149CE" w:rsidRDefault="004033EA" w:rsidP="007142FA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</w:t>
            </w:r>
            <w:r w:rsidR="007142FA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</w:t>
            </w:r>
            <w:r w:rsidR="00362DB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00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per </w:t>
            </w:r>
            <w:r w:rsidR="00DA6747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year</w:t>
            </w:r>
          </w:p>
        </w:tc>
      </w:tr>
      <w:tr w:rsidR="00D37A50" w:rsidRPr="007149CE" w:rsidTr="007F5EEB">
        <w:trPr>
          <w:gridAfter w:val="1"/>
          <w:wAfter w:w="7" w:type="dxa"/>
          <w:cantSplit/>
        </w:trPr>
        <w:tc>
          <w:tcPr>
            <w:tcW w:w="9791" w:type="dxa"/>
            <w:gridSpan w:val="6"/>
            <w:shd w:val="pct12" w:color="000000" w:fill="FFFFFF"/>
          </w:tcPr>
          <w:p w:rsidR="00D37A50" w:rsidRPr="007149CE" w:rsidRDefault="00CF4BC9" w:rsidP="00DA674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Medical </w:t>
            </w:r>
            <w:r w:rsidR="00AB7F6D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o</w:t>
            </w: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ut-of-pocket limits (</w:t>
            </w:r>
            <w:r w:rsidR="00DA6747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O</w:t>
            </w: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ffice visit</w:t>
            </w:r>
            <w:r w:rsidR="00615455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co-payments</w:t>
            </w:r>
            <w:r w:rsidR="00DA6747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 and dental services do not </w:t>
            </w: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accrue toward the out</w:t>
            </w:r>
            <w:r w:rsidR="00AB7F6D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-</w:t>
            </w: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of</w:t>
            </w:r>
            <w:r w:rsidR="00AB7F6D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-</w:t>
            </w: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pocket limits)</w:t>
            </w:r>
          </w:p>
        </w:tc>
      </w:tr>
      <w:tr w:rsidR="007149CE" w:rsidRPr="007149CE" w:rsidTr="007F5EEB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6E36A1" w:rsidRPr="007149CE" w:rsidRDefault="006E36A1" w:rsidP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Medical out-of-pocket limits per person</w:t>
            </w:r>
          </w:p>
        </w:tc>
        <w:tc>
          <w:tcPr>
            <w:tcW w:w="6015" w:type="dxa"/>
            <w:gridSpan w:val="5"/>
          </w:tcPr>
          <w:p w:rsidR="006E36A1" w:rsidRPr="007149CE" w:rsidRDefault="009B6146" w:rsidP="00CF49B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</w:t>
            </w:r>
            <w:r w:rsidR="00CF49B6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4,500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per </w:t>
            </w:r>
            <w:r w:rsidR="005975F2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plan year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7149CE" w:rsidRPr="007149CE" w:rsidTr="007F5EEB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9B6146" w:rsidRPr="007149CE" w:rsidRDefault="009B6146" w:rsidP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Medical out-of-pocket limits per family</w:t>
            </w:r>
          </w:p>
        </w:tc>
        <w:tc>
          <w:tcPr>
            <w:tcW w:w="6015" w:type="dxa"/>
            <w:gridSpan w:val="5"/>
          </w:tcPr>
          <w:p w:rsidR="009B6146" w:rsidRPr="007149CE" w:rsidRDefault="009B6146" w:rsidP="00CF49B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</w:t>
            </w:r>
            <w:r w:rsidR="00CF49B6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9,000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per </w:t>
            </w:r>
            <w:r w:rsidR="005975F2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plan </w:t>
            </w:r>
            <w:r w:rsidR="005975F2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year</w:t>
            </w:r>
          </w:p>
        </w:tc>
      </w:tr>
      <w:tr w:rsidR="009B6146" w:rsidRPr="00B66241" w:rsidTr="007F5EEB">
        <w:trPr>
          <w:gridAfter w:val="1"/>
          <w:wAfter w:w="7" w:type="dxa"/>
          <w:cantSplit/>
        </w:trPr>
        <w:tc>
          <w:tcPr>
            <w:tcW w:w="9791" w:type="dxa"/>
            <w:gridSpan w:val="6"/>
            <w:shd w:val="pct12" w:color="000000" w:fill="FFFFFF"/>
          </w:tcPr>
          <w:p w:rsidR="009B6146" w:rsidRPr="00B66241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Office </w:t>
            </w:r>
            <w:r w:rsidR="00AB7F6D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V</w:t>
            </w:r>
            <w:r w:rsidRPr="00B66241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isits</w:t>
            </w:r>
          </w:p>
        </w:tc>
      </w:tr>
      <w:tr w:rsidR="007149CE" w:rsidRPr="007149CE" w:rsidTr="007F5EEB">
        <w:trPr>
          <w:cantSplit/>
        </w:trPr>
        <w:tc>
          <w:tcPr>
            <w:tcW w:w="3776" w:type="dxa"/>
          </w:tcPr>
          <w:p w:rsidR="004E073F" w:rsidRPr="00B66241" w:rsidRDefault="004E073F" w:rsidP="00AB7F6D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Office visits for </w:t>
            </w:r>
            <w:r w:rsidR="00AB7F6D">
              <w:rPr>
                <w:rFonts w:ascii="Trebuchet MS" w:hAnsi="Trebuchet MS"/>
                <w:snapToGrid w:val="0"/>
                <w:sz w:val="16"/>
                <w:szCs w:val="16"/>
              </w:rPr>
              <w:t>i</w:t>
            </w: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llness or </w:t>
            </w:r>
            <w:r w:rsidR="00AB7F6D">
              <w:rPr>
                <w:rFonts w:ascii="Trebuchet MS" w:hAnsi="Trebuchet MS"/>
                <w:snapToGrid w:val="0"/>
                <w:sz w:val="16"/>
                <w:szCs w:val="16"/>
              </w:rPr>
              <w:t>s</w:t>
            </w: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pecialist</w:t>
            </w:r>
          </w:p>
        </w:tc>
        <w:tc>
          <w:tcPr>
            <w:tcW w:w="2887" w:type="dxa"/>
            <w:gridSpan w:val="2"/>
            <w:vAlign w:val="center"/>
          </w:tcPr>
          <w:p w:rsidR="004E073F" w:rsidRPr="00B66241" w:rsidRDefault="004E073F" w:rsidP="00D118A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100% after </w:t>
            </w:r>
            <w:r w:rsidR="005454B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$15</w:t>
            </w: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co-pay</w:t>
            </w:r>
          </w:p>
        </w:tc>
        <w:tc>
          <w:tcPr>
            <w:tcW w:w="3135" w:type="dxa"/>
            <w:gridSpan w:val="4"/>
            <w:vMerge w:val="restart"/>
            <w:vAlign w:val="center"/>
          </w:tcPr>
          <w:p w:rsidR="004E073F" w:rsidRPr="00B66241" w:rsidRDefault="00D63061" w:rsidP="00D63061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80% after deductible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unless the visit is for Preventive Care services outlined in the Preventive Care Guide, then 100%</w:t>
            </w:r>
          </w:p>
        </w:tc>
      </w:tr>
      <w:tr w:rsidR="007149CE" w:rsidRPr="007149CE" w:rsidTr="007F5EEB">
        <w:trPr>
          <w:cantSplit/>
        </w:trPr>
        <w:tc>
          <w:tcPr>
            <w:tcW w:w="3776" w:type="dxa"/>
            <w:vAlign w:val="center"/>
          </w:tcPr>
          <w:p w:rsidR="004E073F" w:rsidRPr="00B66241" w:rsidRDefault="00B66241" w:rsidP="00AB7F6D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>Routine annual physical and d</w:t>
            </w:r>
            <w:r w:rsidR="004E073F"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efined </w:t>
            </w:r>
            <w:r w:rsidR="007149CE" w:rsidRPr="00B66241">
              <w:rPr>
                <w:rFonts w:ascii="Trebuchet MS" w:hAnsi="Trebuchet MS"/>
                <w:snapToGrid w:val="0"/>
                <w:sz w:val="16"/>
                <w:szCs w:val="16"/>
              </w:rPr>
              <w:t>p</w:t>
            </w:r>
            <w:r w:rsidR="004E073F" w:rsidRPr="00B66241">
              <w:rPr>
                <w:rFonts w:ascii="Trebuchet MS" w:hAnsi="Trebuchet MS"/>
                <w:snapToGrid w:val="0"/>
                <w:sz w:val="16"/>
                <w:szCs w:val="16"/>
              </w:rPr>
              <w:t>reventive services*</w:t>
            </w:r>
          </w:p>
        </w:tc>
        <w:tc>
          <w:tcPr>
            <w:tcW w:w="2887" w:type="dxa"/>
            <w:gridSpan w:val="2"/>
          </w:tcPr>
          <w:p w:rsidR="004E073F" w:rsidRPr="00B66241" w:rsidRDefault="004E073F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4E073F" w:rsidRPr="00B66241" w:rsidRDefault="004E073F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135" w:type="dxa"/>
            <w:gridSpan w:val="4"/>
            <w:vMerge/>
            <w:vAlign w:val="center"/>
          </w:tcPr>
          <w:p w:rsidR="004E073F" w:rsidRPr="007149CE" w:rsidRDefault="004E073F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7149CE" w:rsidRPr="007149CE" w:rsidTr="007F5EEB">
        <w:trPr>
          <w:gridAfter w:val="2"/>
          <w:wAfter w:w="22" w:type="dxa"/>
          <w:cantSplit/>
        </w:trPr>
        <w:tc>
          <w:tcPr>
            <w:tcW w:w="9776" w:type="dxa"/>
            <w:gridSpan w:val="5"/>
            <w:shd w:val="pct12" w:color="000000" w:fill="FFFFFF"/>
          </w:tcPr>
          <w:p w:rsidR="007149CE" w:rsidRPr="007149CE" w:rsidRDefault="007149CE" w:rsidP="007149CE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Laboratory and X-rays</w:t>
            </w:r>
          </w:p>
        </w:tc>
      </w:tr>
      <w:tr w:rsidR="007149CE" w:rsidRPr="007149CE" w:rsidTr="007F5EEB">
        <w:trPr>
          <w:gridAfter w:val="2"/>
          <w:wAfter w:w="22" w:type="dxa"/>
          <w:cantSplit/>
        </w:trPr>
        <w:tc>
          <w:tcPr>
            <w:tcW w:w="3776" w:type="dxa"/>
            <w:tcBorders>
              <w:bottom w:val="single" w:sz="6" w:space="0" w:color="000000"/>
            </w:tcBorders>
            <w:vAlign w:val="center"/>
          </w:tcPr>
          <w:p w:rsidR="007149CE" w:rsidRPr="007149CE" w:rsidRDefault="007149CE" w:rsidP="00AB7F6D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All services (unless covered under defined preventive services</w:t>
            </w:r>
            <w:r w:rsid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 above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)</w:t>
            </w:r>
          </w:p>
        </w:tc>
        <w:tc>
          <w:tcPr>
            <w:tcW w:w="2887" w:type="dxa"/>
            <w:gridSpan w:val="2"/>
            <w:tcBorders>
              <w:bottom w:val="single" w:sz="6" w:space="0" w:color="000000"/>
            </w:tcBorders>
          </w:tcPr>
          <w:p w:rsidR="007149CE" w:rsidRPr="007149CE" w:rsidRDefault="007149CE" w:rsidP="007149C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7149CE" w:rsidRPr="007149CE" w:rsidRDefault="00362DB1" w:rsidP="00AB7F6D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90% after deductible </w:t>
            </w:r>
          </w:p>
        </w:tc>
        <w:tc>
          <w:tcPr>
            <w:tcW w:w="3113" w:type="dxa"/>
            <w:gridSpan w:val="2"/>
            <w:tcBorders>
              <w:bottom w:val="single" w:sz="6" w:space="0" w:color="000000"/>
            </w:tcBorders>
            <w:vAlign w:val="center"/>
          </w:tcPr>
          <w:p w:rsidR="007149CE" w:rsidRPr="007149CE" w:rsidRDefault="007149CE" w:rsidP="007149C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7149CE" w:rsidRPr="007149CE" w:rsidRDefault="00DD5E46" w:rsidP="007149C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</w:t>
            </w:r>
            <w:r w:rsidR="007149CE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0% after deductible</w:t>
            </w:r>
          </w:p>
        </w:tc>
      </w:tr>
      <w:tr w:rsidR="007149CE" w:rsidRPr="007149CE" w:rsidTr="007F5EEB">
        <w:trPr>
          <w:gridAfter w:val="1"/>
          <w:wAfter w:w="7" w:type="dxa"/>
          <w:cantSplit/>
        </w:trPr>
        <w:tc>
          <w:tcPr>
            <w:tcW w:w="9791" w:type="dxa"/>
            <w:gridSpan w:val="6"/>
            <w:shd w:val="pct12" w:color="000000" w:fill="FFFFFF"/>
          </w:tcPr>
          <w:p w:rsidR="007149CE" w:rsidRPr="007149CE" w:rsidRDefault="007149CE" w:rsidP="00AB7F6D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Emergency </w:t>
            </w:r>
            <w:r w:rsidR="00AB7F6D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R</w:t>
            </w: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oom </w:t>
            </w:r>
            <w:r w:rsidR="00AB7F6D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R</w:t>
            </w: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elated</w:t>
            </w:r>
          </w:p>
        </w:tc>
      </w:tr>
      <w:tr w:rsidR="007149CE" w:rsidRPr="007149CE" w:rsidTr="007F5EEB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9B6146" w:rsidRPr="00B66241" w:rsidRDefault="00777D1B" w:rsidP="006342EA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hyperlink r:id="rId8" w:history="1">
              <w:r w:rsidR="009B6146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 xml:space="preserve">Emergency </w:t>
              </w:r>
              <w:r w:rsidR="00AB7F6D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r</w:t>
              </w:r>
              <w:r w:rsidR="009B6146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oom</w:t>
              </w:r>
            </w:hyperlink>
          </w:p>
        </w:tc>
        <w:tc>
          <w:tcPr>
            <w:tcW w:w="6015" w:type="dxa"/>
            <w:gridSpan w:val="5"/>
          </w:tcPr>
          <w:p w:rsidR="006E3E35" w:rsidRDefault="00362DB1" w:rsidP="00D118A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90% after deductible </w:t>
            </w:r>
          </w:p>
          <w:p w:rsidR="009B6146" w:rsidRPr="007149CE" w:rsidRDefault="009B6146" w:rsidP="00AB7F6D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80% after deductible if non-emergency use</w:t>
            </w:r>
          </w:p>
        </w:tc>
      </w:tr>
      <w:tr w:rsidR="007149CE" w:rsidRPr="007149CE" w:rsidTr="007F5EEB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9B6146" w:rsidRPr="00B66241" w:rsidRDefault="00777D1B" w:rsidP="006342EA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hyperlink r:id="rId9" w:history="1">
              <w:r w:rsidR="009B6146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 xml:space="preserve">Ambulance </w:t>
              </w:r>
              <w:r w:rsidR="00AB7F6D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s</w:t>
              </w:r>
              <w:r w:rsidR="009B6146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ervices</w:t>
              </w:r>
            </w:hyperlink>
          </w:p>
        </w:tc>
        <w:tc>
          <w:tcPr>
            <w:tcW w:w="6015" w:type="dxa"/>
            <w:gridSpan w:val="5"/>
          </w:tcPr>
          <w:p w:rsidR="009B6146" w:rsidRPr="007149CE" w:rsidRDefault="00362DB1" w:rsidP="00AB7F6D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90% after deductible </w:t>
            </w:r>
          </w:p>
        </w:tc>
      </w:tr>
      <w:tr w:rsidR="009B6146" w:rsidRPr="007149CE" w:rsidTr="007F5EEB">
        <w:trPr>
          <w:gridAfter w:val="1"/>
          <w:wAfter w:w="7" w:type="dxa"/>
          <w:cantSplit/>
        </w:trPr>
        <w:tc>
          <w:tcPr>
            <w:tcW w:w="9791" w:type="dxa"/>
            <w:gridSpan w:val="6"/>
            <w:shd w:val="pct12" w:color="000000" w:fill="FFFFFF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Inpatient</w:t>
            </w:r>
          </w:p>
        </w:tc>
      </w:tr>
      <w:tr w:rsidR="007149CE" w:rsidRPr="007149CE" w:rsidTr="007F5EEB">
        <w:trPr>
          <w:gridAfter w:val="1"/>
          <w:wAfter w:w="7" w:type="dxa"/>
          <w:cantSplit/>
        </w:trPr>
        <w:tc>
          <w:tcPr>
            <w:tcW w:w="3776" w:type="dxa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Hospital costs including anesthesia</w:t>
            </w:r>
          </w:p>
        </w:tc>
        <w:tc>
          <w:tcPr>
            <w:tcW w:w="2925" w:type="dxa"/>
            <w:gridSpan w:val="3"/>
            <w:vMerge w:val="restart"/>
          </w:tcPr>
          <w:p w:rsidR="00D37A50" w:rsidRPr="007149CE" w:rsidRDefault="00D37A50" w:rsidP="009B614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9B6146" w:rsidRPr="007149CE" w:rsidRDefault="00362DB1" w:rsidP="00AB7F6D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90% after deductible 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9B6146" w:rsidRPr="007149CE" w:rsidRDefault="00DD5E46" w:rsidP="00AB7F6D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9</w:t>
            </w:r>
            <w:r w:rsidR="009B6146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0% after deductible</w:t>
            </w:r>
          </w:p>
        </w:tc>
      </w:tr>
      <w:tr w:rsidR="007149CE" w:rsidRPr="007149CE" w:rsidTr="007F5EEB">
        <w:trPr>
          <w:gridAfter w:val="1"/>
          <w:wAfter w:w="7" w:type="dxa"/>
          <w:cantSplit/>
        </w:trPr>
        <w:tc>
          <w:tcPr>
            <w:tcW w:w="3776" w:type="dxa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Surgery (physician)</w:t>
            </w:r>
          </w:p>
        </w:tc>
        <w:tc>
          <w:tcPr>
            <w:tcW w:w="2925" w:type="dxa"/>
            <w:gridSpan w:val="3"/>
            <w:vMerge/>
          </w:tcPr>
          <w:p w:rsidR="009B6146" w:rsidRPr="007149CE" w:rsidRDefault="009B6146" w:rsidP="006E36A1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vMerge/>
          </w:tcPr>
          <w:p w:rsidR="009B6146" w:rsidRPr="007149CE" w:rsidRDefault="009B6146" w:rsidP="006E36A1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7149CE" w:rsidRPr="007149CE" w:rsidTr="007F5EEB">
        <w:trPr>
          <w:gridAfter w:val="1"/>
          <w:wAfter w:w="7" w:type="dxa"/>
          <w:cantSplit/>
        </w:trPr>
        <w:tc>
          <w:tcPr>
            <w:tcW w:w="3776" w:type="dxa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Hospice</w:t>
            </w:r>
          </w:p>
        </w:tc>
        <w:tc>
          <w:tcPr>
            <w:tcW w:w="2925" w:type="dxa"/>
            <w:gridSpan w:val="3"/>
            <w:vMerge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vMerge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9B6146" w:rsidRPr="007149CE" w:rsidTr="007F5EEB">
        <w:trPr>
          <w:gridAfter w:val="1"/>
          <w:wAfter w:w="7" w:type="dxa"/>
          <w:cantSplit/>
        </w:trPr>
        <w:tc>
          <w:tcPr>
            <w:tcW w:w="9791" w:type="dxa"/>
            <w:gridSpan w:val="6"/>
            <w:shd w:val="pct12" w:color="000000" w:fill="FFFFFF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Outpatient</w:t>
            </w:r>
          </w:p>
        </w:tc>
      </w:tr>
      <w:tr w:rsidR="002610C7" w:rsidRPr="007149CE" w:rsidTr="007F5EEB">
        <w:trPr>
          <w:gridAfter w:val="1"/>
          <w:wAfter w:w="7" w:type="dxa"/>
          <w:cantSplit/>
        </w:trPr>
        <w:tc>
          <w:tcPr>
            <w:tcW w:w="3776" w:type="dxa"/>
          </w:tcPr>
          <w:p w:rsidR="002610C7" w:rsidRPr="007149CE" w:rsidRDefault="002610C7" w:rsidP="00A33C38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Hospital costs including anesthesia</w:t>
            </w:r>
          </w:p>
        </w:tc>
        <w:tc>
          <w:tcPr>
            <w:tcW w:w="2925" w:type="dxa"/>
            <w:gridSpan w:val="3"/>
            <w:vMerge w:val="restart"/>
          </w:tcPr>
          <w:p w:rsidR="002610C7" w:rsidRPr="007149CE" w:rsidRDefault="002610C7" w:rsidP="00A33C3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2610C7" w:rsidRPr="007149CE" w:rsidRDefault="00362DB1" w:rsidP="00AB7F6D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90% after deductible 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2610C7" w:rsidRPr="007149CE" w:rsidRDefault="00DD5E46" w:rsidP="00AB7F6D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9</w:t>
            </w:r>
            <w:r w:rsidR="002610C7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0% after deductible</w:t>
            </w:r>
          </w:p>
        </w:tc>
      </w:tr>
      <w:tr w:rsidR="002610C7" w:rsidRPr="007149CE" w:rsidTr="007F5EEB">
        <w:trPr>
          <w:gridAfter w:val="1"/>
          <w:wAfter w:w="7" w:type="dxa"/>
          <w:cantSplit/>
        </w:trPr>
        <w:tc>
          <w:tcPr>
            <w:tcW w:w="3776" w:type="dxa"/>
          </w:tcPr>
          <w:p w:rsidR="002610C7" w:rsidRPr="007149CE" w:rsidRDefault="002610C7" w:rsidP="00A33C38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Surgery (physician)</w:t>
            </w:r>
          </w:p>
        </w:tc>
        <w:tc>
          <w:tcPr>
            <w:tcW w:w="2925" w:type="dxa"/>
            <w:gridSpan w:val="3"/>
            <w:vMerge/>
          </w:tcPr>
          <w:p w:rsidR="002610C7" w:rsidRPr="007149CE" w:rsidRDefault="002610C7" w:rsidP="00A33C3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vMerge/>
          </w:tcPr>
          <w:p w:rsidR="002610C7" w:rsidRPr="007149CE" w:rsidRDefault="002610C7" w:rsidP="00A33C3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2610C7" w:rsidRPr="007149CE" w:rsidTr="007F5EEB">
        <w:trPr>
          <w:gridAfter w:val="1"/>
          <w:wAfter w:w="7" w:type="dxa"/>
          <w:cantSplit/>
        </w:trPr>
        <w:tc>
          <w:tcPr>
            <w:tcW w:w="3776" w:type="dxa"/>
          </w:tcPr>
          <w:p w:rsidR="002610C7" w:rsidRPr="007149CE" w:rsidRDefault="002610C7" w:rsidP="00A33C38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Hospice</w:t>
            </w:r>
          </w:p>
        </w:tc>
        <w:tc>
          <w:tcPr>
            <w:tcW w:w="2925" w:type="dxa"/>
            <w:gridSpan w:val="3"/>
            <w:vMerge/>
          </w:tcPr>
          <w:p w:rsidR="002610C7" w:rsidRPr="007149CE" w:rsidRDefault="002610C7" w:rsidP="00A33C3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vMerge/>
          </w:tcPr>
          <w:p w:rsidR="002610C7" w:rsidRPr="007149CE" w:rsidRDefault="002610C7" w:rsidP="00A33C3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9B6146" w:rsidRPr="007149CE" w:rsidTr="007F5EEB">
        <w:trPr>
          <w:gridAfter w:val="1"/>
          <w:wAfter w:w="7" w:type="dxa"/>
          <w:cantSplit/>
        </w:trPr>
        <w:tc>
          <w:tcPr>
            <w:tcW w:w="9791" w:type="dxa"/>
            <w:gridSpan w:val="6"/>
            <w:shd w:val="pct10" w:color="auto" w:fill="auto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Chemotherapy and Radiation Therapy</w:t>
            </w:r>
          </w:p>
        </w:tc>
      </w:tr>
      <w:tr w:rsidR="007149CE" w:rsidRPr="007149CE" w:rsidTr="007F5EEB">
        <w:trPr>
          <w:gridAfter w:val="1"/>
          <w:wAfter w:w="7" w:type="dxa"/>
          <w:cantSplit/>
        </w:trPr>
        <w:tc>
          <w:tcPr>
            <w:tcW w:w="3776" w:type="dxa"/>
          </w:tcPr>
          <w:p w:rsidR="003E3328" w:rsidRPr="007149CE" w:rsidRDefault="009B6146" w:rsidP="00AB7F6D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Chemotherapy and </w:t>
            </w:r>
            <w:r w:rsidR="00AB7F6D">
              <w:rPr>
                <w:rFonts w:ascii="Trebuchet MS" w:hAnsi="Trebuchet MS"/>
                <w:snapToGrid w:val="0"/>
                <w:sz w:val="16"/>
                <w:szCs w:val="16"/>
              </w:rPr>
              <w:t>r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adiation </w:t>
            </w:r>
            <w:r w:rsidR="002C522D">
              <w:rPr>
                <w:rFonts w:ascii="Trebuchet MS" w:hAnsi="Trebuchet MS"/>
                <w:snapToGrid w:val="0"/>
                <w:sz w:val="16"/>
                <w:szCs w:val="16"/>
              </w:rPr>
              <w:t>t</w:t>
            </w:r>
            <w:r w:rsidR="002C522D" w:rsidRPr="007149CE">
              <w:rPr>
                <w:rFonts w:ascii="Trebuchet MS" w:hAnsi="Trebuchet MS"/>
                <w:snapToGrid w:val="0"/>
                <w:sz w:val="16"/>
                <w:szCs w:val="16"/>
              </w:rPr>
              <w:t>herapy</w:t>
            </w:r>
            <w:r w:rsidR="002C522D">
              <w:rPr>
                <w:rFonts w:ascii="Trebuchet MS" w:hAnsi="Trebuchet MS"/>
                <w:snapToGrid w:val="0"/>
                <w:sz w:val="16"/>
                <w:szCs w:val="16"/>
              </w:rPr>
              <w:t>:</w:t>
            </w:r>
            <w:r w:rsidR="002C522D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  <w:r w:rsidR="002C522D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does</w:t>
            </w:r>
            <w:r w:rsidR="00B66241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not include oral </w:t>
            </w:r>
            <w:r w:rsid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or injectable </w:t>
            </w:r>
            <w:r w:rsidR="00B66241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medications purchased through pharmacy</w:t>
            </w:r>
            <w:r w:rsid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benefit</w:t>
            </w:r>
          </w:p>
        </w:tc>
        <w:tc>
          <w:tcPr>
            <w:tcW w:w="6015" w:type="dxa"/>
            <w:gridSpan w:val="5"/>
            <w:vAlign w:val="center"/>
          </w:tcPr>
          <w:p w:rsidR="002E54E3" w:rsidRPr="007149CE" w:rsidRDefault="009B6146" w:rsidP="00AB7F6D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100% no deductible</w:t>
            </w:r>
          </w:p>
          <w:p w:rsidR="009B6146" w:rsidRPr="007149CE" w:rsidRDefault="002E54E3" w:rsidP="00AB7F6D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I</w:t>
            </w:r>
            <w:r w:rsidR="0014245B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n-office/facility </w:t>
            </w:r>
            <w:r w:rsidR="00365ECB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administration</w:t>
            </w:r>
            <w:r w:rsidR="00365ECB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only</w:t>
            </w:r>
          </w:p>
        </w:tc>
      </w:tr>
      <w:tr w:rsidR="009B6146" w:rsidRPr="007149CE" w:rsidTr="007F5EEB">
        <w:trPr>
          <w:gridAfter w:val="1"/>
          <w:wAfter w:w="7" w:type="dxa"/>
          <w:cantSplit/>
        </w:trPr>
        <w:tc>
          <w:tcPr>
            <w:tcW w:w="9791" w:type="dxa"/>
            <w:gridSpan w:val="6"/>
            <w:shd w:val="clear" w:color="auto" w:fill="E6E6E6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Maternity</w:t>
            </w:r>
          </w:p>
        </w:tc>
      </w:tr>
      <w:tr w:rsidR="007149CE" w:rsidRPr="007149CE" w:rsidTr="007F5EEB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4E073F" w:rsidRPr="00B66241" w:rsidRDefault="004E073F" w:rsidP="00AB7F6D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Obstetrics:</w:t>
            </w:r>
          </w:p>
          <w:p w:rsidR="004E073F" w:rsidRPr="00B66241" w:rsidRDefault="004E073F" w:rsidP="00AB7F6D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Single fee/delivery charge incl</w:t>
            </w:r>
            <w:r w:rsidR="00AB7F6D">
              <w:rPr>
                <w:rFonts w:ascii="Trebuchet MS" w:hAnsi="Trebuchet MS"/>
                <w:snapToGrid w:val="0"/>
                <w:sz w:val="16"/>
                <w:szCs w:val="16"/>
              </w:rPr>
              <w:t>uding o</w:t>
            </w: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ffice visits</w:t>
            </w:r>
          </w:p>
        </w:tc>
        <w:tc>
          <w:tcPr>
            <w:tcW w:w="2887" w:type="dxa"/>
            <w:gridSpan w:val="2"/>
          </w:tcPr>
          <w:p w:rsidR="004E073F" w:rsidRDefault="00362DB1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90% after deductible </w:t>
            </w:r>
          </w:p>
          <w:p w:rsidR="00F370E2" w:rsidRPr="00B66241" w:rsidRDefault="00F370E2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Routine prenatal office visits covered at 100%, no deductible</w:t>
            </w:r>
          </w:p>
        </w:tc>
        <w:tc>
          <w:tcPr>
            <w:tcW w:w="3128" w:type="dxa"/>
            <w:gridSpan w:val="3"/>
            <w:vMerge w:val="restart"/>
            <w:vAlign w:val="center"/>
          </w:tcPr>
          <w:p w:rsidR="004E073F" w:rsidRPr="00B66241" w:rsidRDefault="004E073F" w:rsidP="00AB7F6D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80% after deductible</w:t>
            </w:r>
          </w:p>
        </w:tc>
      </w:tr>
      <w:tr w:rsidR="007149CE" w:rsidRPr="007149CE" w:rsidTr="007F5EEB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4E073F" w:rsidRPr="00B66241" w:rsidRDefault="004E073F" w:rsidP="004E073F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Obstetrics: </w:t>
            </w:r>
          </w:p>
          <w:p w:rsidR="004E073F" w:rsidRPr="00B66241" w:rsidRDefault="00F370E2" w:rsidP="00F370E2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>Routine prenatal o</w:t>
            </w:r>
            <w:r w:rsidR="004E073F" w:rsidRPr="00B66241">
              <w:rPr>
                <w:rFonts w:ascii="Trebuchet MS" w:hAnsi="Trebuchet MS"/>
                <w:snapToGrid w:val="0"/>
                <w:sz w:val="16"/>
                <w:szCs w:val="16"/>
              </w:rPr>
              <w:t>ffice visits billed separately from single fee</w:t>
            </w:r>
          </w:p>
        </w:tc>
        <w:tc>
          <w:tcPr>
            <w:tcW w:w="2887" w:type="dxa"/>
            <w:gridSpan w:val="2"/>
            <w:vAlign w:val="center"/>
          </w:tcPr>
          <w:p w:rsidR="004E073F" w:rsidRPr="00B66241" w:rsidRDefault="004E073F" w:rsidP="00F370E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100% </w:t>
            </w:r>
            <w:r w:rsidR="0047485F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after $15 co-pay</w:t>
            </w:r>
          </w:p>
        </w:tc>
        <w:tc>
          <w:tcPr>
            <w:tcW w:w="3128" w:type="dxa"/>
            <w:gridSpan w:val="3"/>
            <w:vMerge/>
            <w:vAlign w:val="center"/>
          </w:tcPr>
          <w:p w:rsidR="004E073F" w:rsidRPr="00B66241" w:rsidRDefault="004E073F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7149CE" w:rsidRPr="007149CE" w:rsidTr="007F5EEB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4E073F" w:rsidRPr="00B66241" w:rsidRDefault="00777D1B" w:rsidP="004E073F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hyperlink r:id="rId10" w:history="1">
              <w:r w:rsidR="004E073F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Infertility</w:t>
              </w:r>
            </w:hyperlink>
          </w:p>
        </w:tc>
        <w:tc>
          <w:tcPr>
            <w:tcW w:w="2887" w:type="dxa"/>
            <w:gridSpan w:val="2"/>
          </w:tcPr>
          <w:p w:rsidR="004E073F" w:rsidRPr="00B66241" w:rsidRDefault="00362DB1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90% after deductible </w:t>
            </w:r>
          </w:p>
        </w:tc>
        <w:tc>
          <w:tcPr>
            <w:tcW w:w="3128" w:type="dxa"/>
            <w:gridSpan w:val="3"/>
            <w:vMerge/>
          </w:tcPr>
          <w:p w:rsidR="004E073F" w:rsidRPr="00B66241" w:rsidRDefault="004E073F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4E073F" w:rsidRPr="007149CE" w:rsidTr="007F5EEB">
        <w:trPr>
          <w:gridAfter w:val="1"/>
          <w:wAfter w:w="7" w:type="dxa"/>
          <w:cantSplit/>
        </w:trPr>
        <w:tc>
          <w:tcPr>
            <w:tcW w:w="9791" w:type="dxa"/>
            <w:gridSpan w:val="6"/>
            <w:vAlign w:val="center"/>
          </w:tcPr>
          <w:p w:rsidR="004E073F" w:rsidRPr="00B66241" w:rsidRDefault="004E073F" w:rsidP="00AB7F6D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Infertility </w:t>
            </w:r>
            <w:r w:rsidR="00AB7F6D">
              <w:rPr>
                <w:rFonts w:ascii="Trebuchet MS" w:hAnsi="Trebuchet MS"/>
                <w:snapToGrid w:val="0"/>
                <w:sz w:val="16"/>
                <w:szCs w:val="16"/>
              </w:rPr>
              <w:t>l</w:t>
            </w: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ifetime </w:t>
            </w:r>
            <w:r w:rsidR="00AB7F6D">
              <w:rPr>
                <w:rFonts w:ascii="Trebuchet MS" w:hAnsi="Trebuchet MS"/>
                <w:snapToGrid w:val="0"/>
                <w:sz w:val="16"/>
                <w:szCs w:val="16"/>
              </w:rPr>
              <w:t>l</w:t>
            </w: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imits:  </w:t>
            </w:r>
            <w:r w:rsidR="00AB7F6D">
              <w:rPr>
                <w:rFonts w:ascii="Trebuchet MS" w:hAnsi="Trebuchet MS"/>
                <w:snapToGrid w:val="0"/>
                <w:sz w:val="16"/>
                <w:szCs w:val="16"/>
              </w:rPr>
              <w:t>c</w:t>
            </w: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ontact Insurance Administrator </w:t>
            </w:r>
            <w:r w:rsid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for details </w:t>
            </w:r>
          </w:p>
        </w:tc>
      </w:tr>
      <w:tr w:rsidR="009B6146" w:rsidRPr="007149CE" w:rsidTr="007F5EEB">
        <w:trPr>
          <w:gridAfter w:val="1"/>
          <w:wAfter w:w="7" w:type="dxa"/>
          <w:cantSplit/>
        </w:trPr>
        <w:tc>
          <w:tcPr>
            <w:tcW w:w="9791" w:type="dxa"/>
            <w:gridSpan w:val="6"/>
            <w:shd w:val="pct12" w:color="000000" w:fill="FFFFFF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Mental Health and Substance Abuse</w:t>
            </w:r>
          </w:p>
        </w:tc>
      </w:tr>
      <w:tr w:rsidR="007149CE" w:rsidRPr="007149CE" w:rsidTr="007F5EEB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6D7F6E" w:rsidRPr="00B66241" w:rsidRDefault="006D7F6E" w:rsidP="006D7F6E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Inpatient hospitalization</w:t>
            </w:r>
            <w:r w:rsidR="007C76A6"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 for mental health or substance abuse</w:t>
            </w:r>
          </w:p>
        </w:tc>
        <w:tc>
          <w:tcPr>
            <w:tcW w:w="2925" w:type="dxa"/>
            <w:gridSpan w:val="3"/>
            <w:vMerge w:val="restart"/>
          </w:tcPr>
          <w:p w:rsidR="003E3328" w:rsidRPr="007149CE" w:rsidRDefault="003E332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6D7F6E" w:rsidRPr="007149CE" w:rsidRDefault="00362DB1" w:rsidP="00AB7F6D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90% after ded</w:t>
            </w:r>
            <w:bookmarkStart w:id="0" w:name="_GoBack"/>
            <w:bookmarkEnd w:id="0"/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uctible 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6D7F6E" w:rsidRPr="007149CE" w:rsidRDefault="00DD5E46" w:rsidP="00AB7F6D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9</w:t>
            </w:r>
            <w:r w:rsidR="006D7F6E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0% after deductible</w:t>
            </w:r>
          </w:p>
        </w:tc>
      </w:tr>
      <w:tr w:rsidR="007149CE" w:rsidRPr="007149CE" w:rsidTr="007F5EEB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6D7F6E" w:rsidRPr="00B66241" w:rsidRDefault="006D7F6E" w:rsidP="006D7F6E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Outpatient facility</w:t>
            </w:r>
            <w:r w:rsidR="007C76A6" w:rsidRPr="00B66241">
              <w:rPr>
                <w:rFonts w:ascii="Trebuchet MS" w:hAnsi="Trebuchet MS"/>
                <w:snapToGrid w:val="0"/>
                <w:sz w:val="16"/>
                <w:szCs w:val="16"/>
              </w:rPr>
              <w:t>, including day treatment programs</w:t>
            </w:r>
          </w:p>
        </w:tc>
        <w:tc>
          <w:tcPr>
            <w:tcW w:w="2925" w:type="dxa"/>
            <w:gridSpan w:val="3"/>
            <w:vMerge/>
          </w:tcPr>
          <w:p w:rsidR="006D7F6E" w:rsidRPr="007149CE" w:rsidRDefault="006D7F6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vMerge/>
          </w:tcPr>
          <w:p w:rsidR="006D7F6E" w:rsidRPr="007149CE" w:rsidRDefault="006D7F6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7149CE" w:rsidRPr="007149CE" w:rsidTr="007F5EEB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6D7F6E" w:rsidRPr="00B66241" w:rsidRDefault="006D7F6E" w:rsidP="006D7F6E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Office visit</w:t>
            </w:r>
            <w:r w:rsidR="004E073F" w:rsidRPr="00B66241">
              <w:rPr>
                <w:rFonts w:ascii="Trebuchet MS" w:hAnsi="Trebuchet MS"/>
                <w:snapToGrid w:val="0"/>
                <w:sz w:val="16"/>
                <w:szCs w:val="16"/>
              </w:rPr>
              <w:t>s</w:t>
            </w:r>
          </w:p>
        </w:tc>
        <w:tc>
          <w:tcPr>
            <w:tcW w:w="2925" w:type="dxa"/>
            <w:gridSpan w:val="3"/>
          </w:tcPr>
          <w:p w:rsidR="006D7F6E" w:rsidRPr="007149CE" w:rsidRDefault="006D7F6E" w:rsidP="00AB7F6D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100% after </w:t>
            </w:r>
            <w:r w:rsidR="005454B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$15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co-pay</w:t>
            </w:r>
          </w:p>
        </w:tc>
        <w:tc>
          <w:tcPr>
            <w:tcW w:w="3090" w:type="dxa"/>
            <w:gridSpan w:val="2"/>
            <w:vMerge/>
          </w:tcPr>
          <w:p w:rsidR="006D7F6E" w:rsidRPr="007149CE" w:rsidRDefault="006D7F6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9B6146" w:rsidRPr="007149CE" w:rsidTr="007F5EEB">
        <w:trPr>
          <w:gridAfter w:val="1"/>
          <w:wAfter w:w="7" w:type="dxa"/>
          <w:cantSplit/>
        </w:trPr>
        <w:tc>
          <w:tcPr>
            <w:tcW w:w="9791" w:type="dxa"/>
            <w:gridSpan w:val="6"/>
            <w:shd w:val="pct12" w:color="000000" w:fill="FFFFFF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Nursing and Home Health Care</w:t>
            </w:r>
          </w:p>
        </w:tc>
      </w:tr>
      <w:tr w:rsidR="00D900F7" w:rsidRPr="007149CE" w:rsidTr="007F5EEB">
        <w:trPr>
          <w:gridAfter w:val="1"/>
          <w:wAfter w:w="7" w:type="dxa"/>
          <w:cantSplit/>
        </w:trPr>
        <w:tc>
          <w:tcPr>
            <w:tcW w:w="3776" w:type="dxa"/>
          </w:tcPr>
          <w:p w:rsidR="00D900F7" w:rsidRPr="00DA6747" w:rsidRDefault="00D900F7" w:rsidP="00DA674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DA6747">
              <w:rPr>
                <w:rFonts w:ascii="Trebuchet MS" w:hAnsi="Trebuchet MS"/>
                <w:snapToGrid w:val="0"/>
                <w:sz w:val="16"/>
                <w:szCs w:val="16"/>
              </w:rPr>
              <w:t xml:space="preserve">Skilled nursing </w:t>
            </w:r>
            <w:r w:rsidR="005975F2" w:rsidRPr="00DA6747">
              <w:rPr>
                <w:rFonts w:ascii="Trebuchet MS" w:hAnsi="Trebuchet MS"/>
                <w:snapToGrid w:val="0"/>
                <w:sz w:val="16"/>
                <w:szCs w:val="16"/>
              </w:rPr>
              <w:t>facility (</w:t>
            </w:r>
            <w:r w:rsidRPr="00DA6747">
              <w:rPr>
                <w:rFonts w:ascii="Trebuchet MS" w:hAnsi="Trebuchet MS"/>
                <w:snapToGrid w:val="0"/>
                <w:sz w:val="16"/>
                <w:szCs w:val="16"/>
              </w:rPr>
              <w:t xml:space="preserve">e.g., rehabilitation center) </w:t>
            </w:r>
            <w:r w:rsidRPr="00DA6747">
              <w:rPr>
                <w:rFonts w:ascii="Trebuchet MS" w:hAnsi="Trebuchet MS"/>
                <w:i/>
                <w:snapToGrid w:val="0"/>
                <w:sz w:val="16"/>
                <w:szCs w:val="16"/>
              </w:rPr>
              <w:t xml:space="preserve">maximum 60 days per condition per </w:t>
            </w:r>
            <w:r w:rsidR="005975F2" w:rsidRPr="00DA6747">
              <w:rPr>
                <w:rFonts w:ascii="Trebuchet MS" w:hAnsi="Trebuchet MS"/>
                <w:i/>
                <w:snapToGrid w:val="0"/>
                <w:sz w:val="16"/>
                <w:szCs w:val="16"/>
              </w:rPr>
              <w:t>plan year</w:t>
            </w:r>
          </w:p>
        </w:tc>
        <w:tc>
          <w:tcPr>
            <w:tcW w:w="2925" w:type="dxa"/>
            <w:gridSpan w:val="3"/>
            <w:vMerge w:val="restart"/>
            <w:vAlign w:val="center"/>
          </w:tcPr>
          <w:p w:rsidR="00D900F7" w:rsidRPr="00DA6747" w:rsidRDefault="00D900F7" w:rsidP="00790741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D900F7" w:rsidRPr="00DA6747" w:rsidRDefault="00D900F7" w:rsidP="00790741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90% after deductible 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D900F7" w:rsidRPr="00DA6747" w:rsidRDefault="00D900F7" w:rsidP="00790741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D900F7" w:rsidRPr="00DA6747" w:rsidRDefault="00D900F7" w:rsidP="00790741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D900F7" w:rsidRPr="00DA6747" w:rsidRDefault="00D900F7" w:rsidP="00790741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 w:rsidRPr="00DA6747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80% after deducti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ble</w:t>
            </w:r>
          </w:p>
        </w:tc>
      </w:tr>
      <w:tr w:rsidR="00D900F7" w:rsidRPr="007149CE" w:rsidTr="007F5EEB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D900F7" w:rsidRPr="00645790" w:rsidRDefault="00D900F7" w:rsidP="00DA674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45790">
              <w:rPr>
                <w:rFonts w:ascii="Trebuchet MS" w:hAnsi="Trebuchet MS"/>
                <w:snapToGrid w:val="0"/>
                <w:sz w:val="16"/>
                <w:szCs w:val="16"/>
              </w:rPr>
              <w:t xml:space="preserve">Convalescent Care </w:t>
            </w:r>
            <w:r w:rsidRPr="00645790">
              <w:rPr>
                <w:rFonts w:ascii="Trebuchet MS" w:hAnsi="Trebuchet MS"/>
                <w:i/>
                <w:snapToGrid w:val="0"/>
                <w:sz w:val="16"/>
                <w:szCs w:val="16"/>
              </w:rPr>
              <w:t>Maximum 60 days per condition per plan year</w:t>
            </w:r>
          </w:p>
        </w:tc>
        <w:tc>
          <w:tcPr>
            <w:tcW w:w="2925" w:type="dxa"/>
            <w:gridSpan w:val="3"/>
            <w:vMerge/>
            <w:vAlign w:val="center"/>
          </w:tcPr>
          <w:p w:rsidR="00D900F7" w:rsidRPr="00DA6747" w:rsidRDefault="00D900F7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vMerge/>
            <w:vAlign w:val="center"/>
          </w:tcPr>
          <w:p w:rsidR="00D900F7" w:rsidRPr="00DA6747" w:rsidRDefault="00D900F7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D900F7" w:rsidRPr="007149CE" w:rsidTr="007F5EEB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D900F7" w:rsidRPr="00DA6747" w:rsidRDefault="00D900F7" w:rsidP="00DA674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DA6747">
              <w:rPr>
                <w:rFonts w:ascii="Trebuchet MS" w:hAnsi="Trebuchet MS"/>
                <w:snapToGrid w:val="0"/>
                <w:sz w:val="16"/>
                <w:szCs w:val="16"/>
              </w:rPr>
              <w:lastRenderedPageBreak/>
              <w:t xml:space="preserve">Visiting nurse: </w:t>
            </w:r>
            <w:r w:rsidRPr="00DA6747">
              <w:rPr>
                <w:rFonts w:ascii="Trebuchet MS" w:hAnsi="Trebuchet MS"/>
                <w:bCs/>
                <w:i/>
                <w:snapToGrid w:val="0"/>
                <w:color w:val="000000"/>
                <w:sz w:val="16"/>
                <w:szCs w:val="16"/>
              </w:rPr>
              <w:t>maximum 120 days per condition per plan year</w:t>
            </w:r>
          </w:p>
        </w:tc>
        <w:tc>
          <w:tcPr>
            <w:tcW w:w="2925" w:type="dxa"/>
            <w:gridSpan w:val="3"/>
            <w:vMerge/>
            <w:vAlign w:val="center"/>
          </w:tcPr>
          <w:p w:rsidR="00D900F7" w:rsidRPr="00DA6747" w:rsidRDefault="00D900F7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vMerge/>
            <w:vAlign w:val="center"/>
          </w:tcPr>
          <w:p w:rsidR="00D900F7" w:rsidRPr="00DA6747" w:rsidRDefault="00D900F7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D900F7" w:rsidRPr="007149CE" w:rsidTr="007F5EEB">
        <w:trPr>
          <w:gridAfter w:val="1"/>
          <w:wAfter w:w="7" w:type="dxa"/>
          <w:cantSplit/>
          <w:trHeight w:val="588"/>
        </w:trPr>
        <w:tc>
          <w:tcPr>
            <w:tcW w:w="3776" w:type="dxa"/>
            <w:vAlign w:val="center"/>
          </w:tcPr>
          <w:p w:rsidR="00D900F7" w:rsidRDefault="00D900F7" w:rsidP="006E3E35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D900F7" w:rsidRPr="00DA6747" w:rsidRDefault="00D900F7" w:rsidP="006E3E35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DA6747">
              <w:rPr>
                <w:rFonts w:ascii="Trebuchet MS" w:hAnsi="Trebuchet MS"/>
                <w:snapToGrid w:val="0"/>
                <w:sz w:val="16"/>
                <w:szCs w:val="16"/>
              </w:rPr>
              <w:t xml:space="preserve">Private duty nursing: </w:t>
            </w:r>
            <w:r w:rsidRPr="00DA6747">
              <w:rPr>
                <w:rFonts w:ascii="Trebuchet MS" w:hAnsi="Trebuchet MS"/>
                <w:i/>
                <w:snapToGrid w:val="0"/>
                <w:sz w:val="16"/>
                <w:szCs w:val="16"/>
              </w:rPr>
              <w:t xml:space="preserve">contact Insurance Administrator for authorization </w:t>
            </w:r>
          </w:p>
          <w:p w:rsidR="00D900F7" w:rsidRPr="00DA6747" w:rsidRDefault="00D900F7" w:rsidP="006E3E35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2925" w:type="dxa"/>
            <w:gridSpan w:val="3"/>
            <w:vMerge/>
          </w:tcPr>
          <w:p w:rsidR="00D900F7" w:rsidRPr="00DA6747" w:rsidRDefault="00D900F7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vMerge/>
            <w:vAlign w:val="center"/>
          </w:tcPr>
          <w:p w:rsidR="00D900F7" w:rsidRPr="00DA6747" w:rsidRDefault="00D900F7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D900F7" w:rsidRPr="007149CE" w:rsidTr="007F5EEB">
        <w:trPr>
          <w:gridAfter w:val="1"/>
          <w:wAfter w:w="7" w:type="dxa"/>
          <w:cantSplit/>
        </w:trPr>
        <w:tc>
          <w:tcPr>
            <w:tcW w:w="9791" w:type="dxa"/>
            <w:gridSpan w:val="6"/>
            <w:shd w:val="pct12" w:color="000000" w:fill="FFFFFF"/>
          </w:tcPr>
          <w:p w:rsidR="00D900F7" w:rsidRDefault="00D900F7" w:rsidP="00AB7F6D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</w:pPr>
          </w:p>
          <w:p w:rsidR="00D900F7" w:rsidRPr="007149CE" w:rsidRDefault="00D900F7" w:rsidP="00AB7F6D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Short</w:t>
            </w:r>
            <w:r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-</w:t>
            </w: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Term Rehabilitation</w:t>
            </w:r>
          </w:p>
        </w:tc>
      </w:tr>
      <w:tr w:rsidR="00D900F7" w:rsidRPr="007149CE" w:rsidTr="007F5EEB">
        <w:trPr>
          <w:gridAfter w:val="1"/>
          <w:wAfter w:w="7" w:type="dxa"/>
          <w:cantSplit/>
        </w:trPr>
        <w:tc>
          <w:tcPr>
            <w:tcW w:w="3776" w:type="dxa"/>
            <w:shd w:val="clear" w:color="000000" w:fill="FFFFFF"/>
          </w:tcPr>
          <w:p w:rsidR="00D900F7" w:rsidRPr="007149CE" w:rsidRDefault="00D900F7" w:rsidP="00AB7F6D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Physical, occupational or speech therapy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:  </w:t>
            </w:r>
            <w:r>
              <w:rPr>
                <w:rFonts w:ascii="Trebuchet MS" w:hAnsi="Trebuchet MS"/>
                <w:i/>
                <w:snapToGrid w:val="0"/>
                <w:sz w:val="16"/>
                <w:szCs w:val="16"/>
              </w:rPr>
              <w:t>r</w:t>
            </w:r>
            <w:r w:rsidRPr="007149CE">
              <w:rPr>
                <w:rFonts w:ascii="Trebuchet MS" w:hAnsi="Trebuchet MS"/>
                <w:i/>
                <w:snapToGrid w:val="0"/>
                <w:sz w:val="16"/>
                <w:szCs w:val="16"/>
              </w:rPr>
              <w:t>estorative service after illness or accident</w:t>
            </w:r>
            <w:r>
              <w:rPr>
                <w:rFonts w:ascii="Trebuchet MS" w:hAnsi="Trebuchet MS"/>
                <w:i/>
                <w:snapToGrid w:val="0"/>
                <w:sz w:val="16"/>
                <w:szCs w:val="16"/>
              </w:rPr>
              <w:t>. 60 visits PT, OT, ST combined per condition per plan year. Visits over 60 review for medical necessity.</w:t>
            </w:r>
          </w:p>
        </w:tc>
        <w:tc>
          <w:tcPr>
            <w:tcW w:w="2925" w:type="dxa"/>
            <w:gridSpan w:val="3"/>
            <w:vMerge w:val="restart"/>
            <w:shd w:val="clear" w:color="000000" w:fill="FFFFFF"/>
            <w:vAlign w:val="center"/>
          </w:tcPr>
          <w:p w:rsidR="00D900F7" w:rsidRPr="007149CE" w:rsidRDefault="00D900F7" w:rsidP="0014245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 xml:space="preserve">100% after </w:t>
            </w:r>
            <w:r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>$15</w:t>
            </w:r>
            <w:r w:rsidRPr="007149CE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 xml:space="preserve"> office co-pay</w:t>
            </w:r>
          </w:p>
        </w:tc>
        <w:tc>
          <w:tcPr>
            <w:tcW w:w="3090" w:type="dxa"/>
            <w:gridSpan w:val="2"/>
            <w:vMerge w:val="restart"/>
            <w:shd w:val="clear" w:color="000000" w:fill="FFFFFF"/>
            <w:vAlign w:val="center"/>
          </w:tcPr>
          <w:p w:rsidR="00D900F7" w:rsidRPr="007149CE" w:rsidRDefault="00D900F7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>80% after deductible</w:t>
            </w:r>
          </w:p>
          <w:p w:rsidR="00D900F7" w:rsidRPr="007149CE" w:rsidRDefault="00D900F7" w:rsidP="0014245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D900F7" w:rsidRPr="007149CE" w:rsidTr="007F5EEB">
        <w:trPr>
          <w:gridAfter w:val="1"/>
          <w:wAfter w:w="7" w:type="dxa"/>
          <w:cantSplit/>
        </w:trPr>
        <w:tc>
          <w:tcPr>
            <w:tcW w:w="3776" w:type="dxa"/>
            <w:shd w:val="clear" w:color="000000" w:fill="FFFFFF"/>
          </w:tcPr>
          <w:p w:rsidR="00D900F7" w:rsidRPr="007149CE" w:rsidRDefault="00D900F7" w:rsidP="00A4650C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Physical, occupational or speech therapy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:  </w:t>
            </w:r>
            <w:r>
              <w:rPr>
                <w:rFonts w:ascii="Trebuchet MS" w:hAnsi="Trebuchet MS"/>
                <w:i/>
                <w:snapToGrid w:val="0"/>
                <w:sz w:val="16"/>
                <w:szCs w:val="16"/>
              </w:rPr>
              <w:t>f</w:t>
            </w:r>
            <w:r w:rsidRPr="007149CE">
              <w:rPr>
                <w:rFonts w:ascii="Trebuchet MS" w:hAnsi="Trebuchet MS"/>
                <w:i/>
                <w:snapToGrid w:val="0"/>
                <w:sz w:val="16"/>
                <w:szCs w:val="16"/>
              </w:rPr>
              <w:t xml:space="preserve">or diagnosis of </w:t>
            </w:r>
            <w:r>
              <w:rPr>
                <w:rFonts w:ascii="Trebuchet MS" w:hAnsi="Trebuchet MS"/>
                <w:i/>
                <w:snapToGrid w:val="0"/>
                <w:sz w:val="16"/>
                <w:szCs w:val="16"/>
              </w:rPr>
              <w:t>d</w:t>
            </w:r>
            <w:r w:rsidRPr="007149CE">
              <w:rPr>
                <w:rFonts w:ascii="Trebuchet MS" w:hAnsi="Trebuchet MS"/>
                <w:i/>
                <w:snapToGrid w:val="0"/>
                <w:sz w:val="16"/>
                <w:szCs w:val="16"/>
              </w:rPr>
              <w:t xml:space="preserve">evelopment </w:t>
            </w:r>
            <w:r>
              <w:rPr>
                <w:rFonts w:ascii="Trebuchet MS" w:hAnsi="Trebuchet MS"/>
                <w:i/>
                <w:snapToGrid w:val="0"/>
                <w:sz w:val="16"/>
                <w:szCs w:val="16"/>
              </w:rPr>
              <w:t>d</w:t>
            </w:r>
            <w:r w:rsidRPr="007149CE">
              <w:rPr>
                <w:rFonts w:ascii="Trebuchet MS" w:hAnsi="Trebuchet MS"/>
                <w:i/>
                <w:snapToGrid w:val="0"/>
                <w:sz w:val="16"/>
                <w:szCs w:val="16"/>
              </w:rPr>
              <w:t xml:space="preserve">elay a maximum 60 visits PT, OT, ST combined, per </w:t>
            </w:r>
            <w:r>
              <w:rPr>
                <w:rFonts w:ascii="Trebuchet MS" w:hAnsi="Trebuchet MS"/>
                <w:i/>
                <w:snapToGrid w:val="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i/>
                <w:snapToGrid w:val="0"/>
                <w:sz w:val="16"/>
                <w:szCs w:val="16"/>
              </w:rPr>
              <w:t>year, per child</w:t>
            </w:r>
          </w:p>
        </w:tc>
        <w:tc>
          <w:tcPr>
            <w:tcW w:w="2925" w:type="dxa"/>
            <w:gridSpan w:val="3"/>
            <w:vMerge/>
            <w:shd w:val="clear" w:color="000000" w:fill="FFFFFF"/>
            <w:vAlign w:val="center"/>
          </w:tcPr>
          <w:p w:rsidR="00D900F7" w:rsidRPr="007149CE" w:rsidRDefault="00D900F7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vMerge/>
            <w:shd w:val="clear" w:color="000000" w:fill="FFFFFF"/>
            <w:vAlign w:val="center"/>
          </w:tcPr>
          <w:p w:rsidR="00D900F7" w:rsidRPr="007149CE" w:rsidRDefault="00D900F7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D900F7" w:rsidRPr="007149CE" w:rsidTr="007F5EEB">
        <w:trPr>
          <w:gridAfter w:val="1"/>
          <w:wAfter w:w="7" w:type="dxa"/>
          <w:cantSplit/>
        </w:trPr>
        <w:tc>
          <w:tcPr>
            <w:tcW w:w="3776" w:type="dxa"/>
            <w:shd w:val="clear" w:color="000000" w:fill="FFFFFF"/>
          </w:tcPr>
          <w:p w:rsidR="00D900F7" w:rsidRPr="007149CE" w:rsidRDefault="00D900F7" w:rsidP="00A4650C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Chiropractor (30 visit limit per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year)</w:t>
            </w:r>
          </w:p>
        </w:tc>
        <w:tc>
          <w:tcPr>
            <w:tcW w:w="2925" w:type="dxa"/>
            <w:gridSpan w:val="3"/>
            <w:vMerge/>
            <w:shd w:val="clear" w:color="000000" w:fill="FFFFFF"/>
          </w:tcPr>
          <w:p w:rsidR="00D900F7" w:rsidRPr="007149CE" w:rsidRDefault="00D900F7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vMerge/>
            <w:shd w:val="clear" w:color="000000" w:fill="FFFFFF"/>
          </w:tcPr>
          <w:p w:rsidR="00D900F7" w:rsidRPr="007149CE" w:rsidRDefault="00D900F7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D900F7" w:rsidRPr="007149CE" w:rsidTr="007F5EEB">
        <w:trPr>
          <w:gridAfter w:val="1"/>
          <w:wAfter w:w="7" w:type="dxa"/>
        </w:trPr>
        <w:tc>
          <w:tcPr>
            <w:tcW w:w="3776" w:type="dxa"/>
            <w:tcBorders>
              <w:bottom w:val="single" w:sz="6" w:space="0" w:color="000000"/>
            </w:tcBorders>
            <w:shd w:val="clear" w:color="000000" w:fill="FFFFFF"/>
            <w:vAlign w:val="center"/>
          </w:tcPr>
          <w:p w:rsidR="00D900F7" w:rsidRPr="007149CE" w:rsidRDefault="00D900F7" w:rsidP="00A4650C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Acupuncture (30 visit limit per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year)  </w:t>
            </w:r>
          </w:p>
        </w:tc>
        <w:tc>
          <w:tcPr>
            <w:tcW w:w="2925" w:type="dxa"/>
            <w:gridSpan w:val="3"/>
            <w:vMerge/>
            <w:tcBorders>
              <w:bottom w:val="single" w:sz="6" w:space="0" w:color="000000"/>
            </w:tcBorders>
            <w:shd w:val="clear" w:color="000000" w:fill="FFFFFF"/>
            <w:vAlign w:val="center"/>
          </w:tcPr>
          <w:p w:rsidR="00D900F7" w:rsidRPr="007149CE" w:rsidRDefault="00D900F7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vMerge/>
            <w:tcBorders>
              <w:bottom w:val="single" w:sz="6" w:space="0" w:color="000000"/>
            </w:tcBorders>
            <w:shd w:val="clear" w:color="000000" w:fill="FFFFFF"/>
            <w:vAlign w:val="center"/>
          </w:tcPr>
          <w:p w:rsidR="00D900F7" w:rsidRPr="007149CE" w:rsidRDefault="00D900F7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D900F7" w:rsidRPr="007149CE" w:rsidTr="007F5EEB">
        <w:trPr>
          <w:gridAfter w:val="1"/>
          <w:wAfter w:w="7" w:type="dxa"/>
          <w:cantSplit/>
        </w:trPr>
        <w:tc>
          <w:tcPr>
            <w:tcW w:w="9791" w:type="dxa"/>
            <w:gridSpan w:val="6"/>
            <w:shd w:val="pct12" w:color="000000" w:fill="FFFFFF"/>
          </w:tcPr>
          <w:p w:rsidR="00D900F7" w:rsidRPr="007149CE" w:rsidRDefault="00D900F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Durable Medical Equipment</w:t>
            </w:r>
          </w:p>
        </w:tc>
      </w:tr>
      <w:tr w:rsidR="00D900F7" w:rsidRPr="007149CE" w:rsidTr="007F5EEB">
        <w:trPr>
          <w:gridAfter w:val="1"/>
          <w:wAfter w:w="7" w:type="dxa"/>
        </w:trPr>
        <w:tc>
          <w:tcPr>
            <w:tcW w:w="3776" w:type="dxa"/>
            <w:shd w:val="clear" w:color="000000" w:fill="FFFFFF"/>
          </w:tcPr>
          <w:p w:rsidR="00D900F7" w:rsidRDefault="00777D1B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hyperlink r:id="rId11" w:history="1">
              <w:r w:rsidR="00D900F7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 xml:space="preserve">Durable </w:t>
              </w:r>
              <w:r w:rsidR="00D900F7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m</w:t>
              </w:r>
              <w:r w:rsidR="00D900F7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 xml:space="preserve">edical </w:t>
              </w:r>
              <w:r w:rsidR="00D900F7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e</w:t>
              </w:r>
              <w:r w:rsidR="00D900F7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quipment</w:t>
              </w:r>
            </w:hyperlink>
            <w:r w:rsidR="00D900F7"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:</w:t>
            </w:r>
            <w:r w:rsidR="00D900F7">
              <w:rPr>
                <w:rFonts w:ascii="Trebuchet MS" w:hAnsi="Trebuchet MS"/>
                <w:snapToGrid w:val="0"/>
                <w:sz w:val="16"/>
                <w:szCs w:val="16"/>
              </w:rPr>
              <w:t xml:space="preserve">  R</w:t>
            </w:r>
            <w:r w:rsidR="00D900F7" w:rsidRPr="007149CE">
              <w:rPr>
                <w:rFonts w:ascii="Trebuchet MS" w:hAnsi="Trebuchet MS"/>
                <w:snapToGrid w:val="0"/>
                <w:sz w:val="16"/>
                <w:szCs w:val="16"/>
              </w:rPr>
              <w:t>ental</w:t>
            </w:r>
          </w:p>
          <w:p w:rsidR="00D900F7" w:rsidRPr="00B66241" w:rsidRDefault="00D900F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i/>
                <w:snapToGrid w:val="0"/>
                <w:sz w:val="16"/>
                <w:szCs w:val="16"/>
              </w:rPr>
              <w:t>Purchases only if approved by Insurance Administrator</w:t>
            </w:r>
          </w:p>
        </w:tc>
        <w:tc>
          <w:tcPr>
            <w:tcW w:w="2925" w:type="dxa"/>
            <w:gridSpan w:val="3"/>
            <w:shd w:val="clear" w:color="000000" w:fill="FFFFFF"/>
            <w:vAlign w:val="center"/>
          </w:tcPr>
          <w:p w:rsidR="00D900F7" w:rsidRPr="007149CE" w:rsidRDefault="00D900F7" w:rsidP="003E259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90% after deductible </w:t>
            </w:r>
          </w:p>
        </w:tc>
        <w:tc>
          <w:tcPr>
            <w:tcW w:w="3090" w:type="dxa"/>
            <w:gridSpan w:val="2"/>
            <w:shd w:val="clear" w:color="000000" w:fill="FFFFFF"/>
            <w:vAlign w:val="center"/>
          </w:tcPr>
          <w:p w:rsidR="00D900F7" w:rsidRPr="007149CE" w:rsidRDefault="00D900F7" w:rsidP="003E259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80% after deductible</w:t>
            </w:r>
          </w:p>
        </w:tc>
      </w:tr>
      <w:tr w:rsidR="00C04288" w:rsidRPr="007149CE" w:rsidTr="0075080E">
        <w:trPr>
          <w:gridAfter w:val="1"/>
          <w:wAfter w:w="7" w:type="dxa"/>
          <w:cantSplit/>
        </w:trPr>
        <w:tc>
          <w:tcPr>
            <w:tcW w:w="9791" w:type="dxa"/>
            <w:gridSpan w:val="6"/>
            <w:shd w:val="pct12" w:color="000000" w:fill="FFFFFF"/>
          </w:tcPr>
          <w:p w:rsidR="00C04288" w:rsidRPr="007149CE" w:rsidRDefault="00C04288" w:rsidP="0075080E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Vision Care</w:t>
            </w:r>
          </w:p>
        </w:tc>
      </w:tr>
      <w:tr w:rsidR="00C86D3E" w:rsidRPr="007149CE" w:rsidTr="0075080E">
        <w:trPr>
          <w:gridAfter w:val="1"/>
          <w:wAfter w:w="7" w:type="dxa"/>
        </w:trPr>
        <w:tc>
          <w:tcPr>
            <w:tcW w:w="3776" w:type="dxa"/>
            <w:vAlign w:val="center"/>
          </w:tcPr>
          <w:p w:rsidR="00C86D3E" w:rsidRPr="007149CE" w:rsidRDefault="00C86D3E" w:rsidP="00C86D3E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Routine eye exams, one per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year, including refraction.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 </w:t>
            </w:r>
            <w:r w:rsidRPr="00BA7098">
              <w:rPr>
                <w:rFonts w:ascii="Trebuchet MS" w:hAnsi="Trebuchet MS"/>
                <w:i/>
                <w:snapToGrid w:val="0"/>
                <w:sz w:val="16"/>
                <w:szCs w:val="16"/>
              </w:rPr>
              <w:t>No PCP referral required</w:t>
            </w:r>
          </w:p>
        </w:tc>
        <w:tc>
          <w:tcPr>
            <w:tcW w:w="2925" w:type="dxa"/>
            <w:gridSpan w:val="3"/>
            <w:vAlign w:val="center"/>
          </w:tcPr>
          <w:p w:rsidR="00C86D3E" w:rsidRPr="007149CE" w:rsidRDefault="001C3048" w:rsidP="00C86D3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1C3048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$20 co-pay</w:t>
            </w:r>
          </w:p>
        </w:tc>
        <w:tc>
          <w:tcPr>
            <w:tcW w:w="3090" w:type="dxa"/>
            <w:gridSpan w:val="2"/>
            <w:vAlign w:val="center"/>
          </w:tcPr>
          <w:p w:rsidR="00C86D3E" w:rsidRPr="007149CE" w:rsidRDefault="00CC02A2" w:rsidP="00C86D3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80% after deductible</w:t>
            </w:r>
          </w:p>
        </w:tc>
      </w:tr>
      <w:tr w:rsidR="00CC02A2" w:rsidRPr="007149CE" w:rsidDel="009F4205" w:rsidTr="009B3FEB">
        <w:trPr>
          <w:gridAfter w:val="1"/>
          <w:wAfter w:w="7" w:type="dxa"/>
          <w:trHeight w:val="570"/>
        </w:trPr>
        <w:tc>
          <w:tcPr>
            <w:tcW w:w="3776" w:type="dxa"/>
            <w:vAlign w:val="center"/>
          </w:tcPr>
          <w:p w:rsidR="00CC02A2" w:rsidRPr="007149CE" w:rsidRDefault="00CC02A2" w:rsidP="001C3048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Frames, lenses, contacts</w:t>
            </w:r>
          </w:p>
        </w:tc>
        <w:tc>
          <w:tcPr>
            <w:tcW w:w="6015" w:type="dxa"/>
            <w:gridSpan w:val="5"/>
            <w:vAlign w:val="center"/>
          </w:tcPr>
          <w:p w:rsidR="00CC02A2" w:rsidRDefault="00CC02A2" w:rsidP="001C3048">
            <w:pPr>
              <w:jc w:val="center"/>
            </w:pPr>
            <w:r w:rsidRPr="000D0842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Up to $200 reimbursement per person, every two plan years</w:t>
            </w:r>
          </w:p>
        </w:tc>
      </w:tr>
      <w:tr w:rsidR="00D900F7" w:rsidRPr="00B66241" w:rsidTr="007F5EEB">
        <w:trPr>
          <w:gridAfter w:val="1"/>
          <w:wAfter w:w="7" w:type="dxa"/>
          <w:cantSplit/>
        </w:trPr>
        <w:tc>
          <w:tcPr>
            <w:tcW w:w="9791" w:type="dxa"/>
            <w:gridSpan w:val="6"/>
            <w:tcBorders>
              <w:bottom w:val="single" w:sz="6" w:space="0" w:color="000000"/>
            </w:tcBorders>
            <w:shd w:val="pct12" w:color="000000" w:fill="FFFFFF"/>
          </w:tcPr>
          <w:p w:rsidR="00D900F7" w:rsidRPr="00B66241" w:rsidRDefault="00D900F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Hearing Aids</w:t>
            </w:r>
          </w:p>
        </w:tc>
      </w:tr>
      <w:tr w:rsidR="00D900F7" w:rsidRPr="007149CE" w:rsidTr="007F5EEB">
        <w:trPr>
          <w:gridAfter w:val="1"/>
          <w:wAfter w:w="7" w:type="dxa"/>
          <w:cantSplit/>
        </w:trPr>
        <w:tc>
          <w:tcPr>
            <w:tcW w:w="3831" w:type="dxa"/>
            <w:gridSpan w:val="2"/>
            <w:tcBorders>
              <w:bottom w:val="single" w:sz="6" w:space="0" w:color="000000"/>
            </w:tcBorders>
            <w:shd w:val="clear" w:color="000000" w:fill="FFFFFF"/>
            <w:vAlign w:val="center"/>
          </w:tcPr>
          <w:p w:rsidR="00D900F7" w:rsidRPr="00B66241" w:rsidRDefault="00D900F7" w:rsidP="006E36A1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Hearing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>a</w:t>
            </w: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ids</w:t>
            </w:r>
          </w:p>
        </w:tc>
        <w:tc>
          <w:tcPr>
            <w:tcW w:w="5960" w:type="dxa"/>
            <w:gridSpan w:val="4"/>
            <w:tcBorders>
              <w:bottom w:val="single" w:sz="6" w:space="0" w:color="000000"/>
            </w:tcBorders>
            <w:shd w:val="clear" w:color="000000" w:fill="FFFFFF"/>
          </w:tcPr>
          <w:p w:rsidR="00D900F7" w:rsidRPr="00B66241" w:rsidRDefault="00D900F7" w:rsidP="00D900F7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>Maximum reimbursement $4</w:t>
            </w:r>
            <w:r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 xml:space="preserve">,000 per person, every five plan </w:t>
            </w:r>
            <w:r w:rsidRPr="00B66241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>years</w:t>
            </w:r>
          </w:p>
        </w:tc>
      </w:tr>
    </w:tbl>
    <w:p w:rsidR="00D41D75" w:rsidRDefault="00D41D75" w:rsidP="00D41D75">
      <w:pPr>
        <w:rPr>
          <w:rFonts w:ascii="Trebuchet MS" w:hAnsi="Trebuchet MS"/>
          <w:b/>
        </w:rPr>
      </w:pPr>
    </w:p>
    <w:p w:rsidR="00D41D75" w:rsidRDefault="00D41D75" w:rsidP="003E2598">
      <w:pPr>
        <w:rPr>
          <w:rFonts w:ascii="Trebuchet MS" w:hAnsi="Trebuchet MS"/>
          <w:sz w:val="20"/>
        </w:rPr>
      </w:pPr>
      <w:r w:rsidRPr="00DA6747">
        <w:rPr>
          <w:rFonts w:ascii="Trebuchet MS" w:hAnsi="Trebuchet MS"/>
        </w:rPr>
        <w:t>*</w:t>
      </w:r>
      <w:r w:rsidR="00FE0BE8">
        <w:rPr>
          <w:rFonts w:ascii="Trebuchet MS" w:hAnsi="Trebuchet MS"/>
          <w:sz w:val="20"/>
          <w:u w:val="single"/>
        </w:rPr>
        <w:t>D</w:t>
      </w:r>
      <w:r w:rsidRPr="00DA6747">
        <w:rPr>
          <w:rFonts w:ascii="Trebuchet MS" w:hAnsi="Trebuchet MS"/>
          <w:sz w:val="20"/>
          <w:u w:val="single"/>
        </w:rPr>
        <w:t>efined preventive care services</w:t>
      </w:r>
      <w:r w:rsidRPr="00DA6747">
        <w:rPr>
          <w:rFonts w:ascii="Trebuchet MS" w:hAnsi="Trebuchet MS"/>
          <w:sz w:val="20"/>
        </w:rPr>
        <w:t xml:space="preserve"> will be provided at 100% when an </w:t>
      </w:r>
      <w:r w:rsidR="005975F2" w:rsidRPr="00DA6747">
        <w:rPr>
          <w:rFonts w:ascii="Trebuchet MS" w:hAnsi="Trebuchet MS"/>
          <w:sz w:val="20"/>
        </w:rPr>
        <w:t>In-Network</w:t>
      </w:r>
      <w:r w:rsidRPr="00DA6747">
        <w:rPr>
          <w:rFonts w:ascii="Trebuchet MS" w:hAnsi="Trebuchet MS"/>
          <w:sz w:val="20"/>
        </w:rPr>
        <w:t xml:space="preserve"> </w:t>
      </w:r>
      <w:r w:rsidR="002610C7" w:rsidRPr="00DA6747">
        <w:rPr>
          <w:rFonts w:ascii="Trebuchet MS" w:hAnsi="Trebuchet MS"/>
          <w:sz w:val="20"/>
        </w:rPr>
        <w:t>Physician</w:t>
      </w:r>
      <w:r w:rsidRPr="00DA6747">
        <w:rPr>
          <w:rFonts w:ascii="Trebuchet MS" w:hAnsi="Trebuchet MS"/>
          <w:sz w:val="20"/>
        </w:rPr>
        <w:t xml:space="preserve"> or facility is used</w:t>
      </w:r>
      <w:r w:rsidR="00DA6747">
        <w:rPr>
          <w:rFonts w:ascii="Trebuchet MS" w:hAnsi="Trebuchet MS"/>
          <w:sz w:val="20"/>
        </w:rPr>
        <w:t>.</w:t>
      </w:r>
      <w:r w:rsidR="00B242F1">
        <w:rPr>
          <w:rFonts w:ascii="Trebuchet MS" w:hAnsi="Trebuchet MS"/>
          <w:sz w:val="20"/>
        </w:rPr>
        <w:t xml:space="preserve"> </w:t>
      </w:r>
      <w:r w:rsidRPr="00DA6747">
        <w:rPr>
          <w:rFonts w:ascii="Trebuchet MS" w:hAnsi="Trebuchet MS"/>
          <w:sz w:val="20"/>
        </w:rPr>
        <w:t>Defined preventive services are determined by gender and age and recommendations may change from time</w:t>
      </w:r>
      <w:r w:rsidR="003E2598" w:rsidRPr="00DA6747">
        <w:rPr>
          <w:rFonts w:ascii="Trebuchet MS" w:hAnsi="Trebuchet MS"/>
          <w:sz w:val="20"/>
        </w:rPr>
        <w:t>-</w:t>
      </w:r>
      <w:r w:rsidRPr="00DA6747">
        <w:rPr>
          <w:rFonts w:ascii="Trebuchet MS" w:hAnsi="Trebuchet MS"/>
          <w:sz w:val="20"/>
        </w:rPr>
        <w:t>to</w:t>
      </w:r>
      <w:r w:rsidR="003E2598" w:rsidRPr="00DA6747">
        <w:rPr>
          <w:rFonts w:ascii="Trebuchet MS" w:hAnsi="Trebuchet MS"/>
          <w:sz w:val="20"/>
        </w:rPr>
        <w:t>-</w:t>
      </w:r>
      <w:r w:rsidRPr="00DA6747">
        <w:rPr>
          <w:rFonts w:ascii="Trebuchet MS" w:hAnsi="Trebuchet MS"/>
          <w:sz w:val="20"/>
        </w:rPr>
        <w:t xml:space="preserve">time.  Always check </w:t>
      </w:r>
      <w:r w:rsidR="003E2598" w:rsidRPr="00DA6747">
        <w:rPr>
          <w:rFonts w:ascii="Trebuchet MS" w:hAnsi="Trebuchet MS"/>
          <w:sz w:val="20"/>
        </w:rPr>
        <w:t xml:space="preserve">with the Insurance Administrator for </w:t>
      </w:r>
      <w:r w:rsidRPr="00DA6747">
        <w:rPr>
          <w:rFonts w:ascii="Trebuchet MS" w:hAnsi="Trebuchet MS"/>
          <w:sz w:val="20"/>
        </w:rPr>
        <w:t>the most recent recommendations provided separately from this general overview and discuss them with your doctor.</w:t>
      </w:r>
    </w:p>
    <w:p w:rsidR="00D900F7" w:rsidRDefault="00D900F7" w:rsidP="003E2598">
      <w:pPr>
        <w:rPr>
          <w:rFonts w:ascii="Trebuchet MS" w:hAnsi="Trebuchet MS"/>
          <w:sz w:val="20"/>
        </w:rPr>
      </w:pPr>
    </w:p>
    <w:p w:rsidR="00D900F7" w:rsidRDefault="00D900F7" w:rsidP="003E2598">
      <w:pPr>
        <w:rPr>
          <w:rFonts w:ascii="Trebuchet MS" w:hAnsi="Trebuchet MS"/>
          <w:b/>
          <w:szCs w:val="24"/>
        </w:rPr>
      </w:pPr>
    </w:p>
    <w:p w:rsidR="00D900F7" w:rsidRPr="00D900F7" w:rsidRDefault="00D900F7" w:rsidP="003E2598">
      <w:pPr>
        <w:rPr>
          <w:rFonts w:ascii="Trebuchet MS" w:hAnsi="Trebuchet MS"/>
          <w:b/>
          <w:szCs w:val="24"/>
        </w:rPr>
      </w:pPr>
      <w:r w:rsidRPr="00D900F7">
        <w:rPr>
          <w:rFonts w:ascii="Trebuchet MS" w:hAnsi="Trebuchet MS"/>
          <w:b/>
          <w:szCs w:val="24"/>
        </w:rPr>
        <w:t xml:space="preserve">For U.S. Prescription drug coverage, please refer to the separate Pharmacy Benefit grid.  </w:t>
      </w:r>
    </w:p>
    <w:p w:rsidR="00DA6747" w:rsidRPr="00D900F7" w:rsidRDefault="00DA6747" w:rsidP="003E2598">
      <w:pPr>
        <w:rPr>
          <w:rFonts w:ascii="Trebuchet MS" w:hAnsi="Trebuchet MS"/>
          <w:b/>
          <w:szCs w:val="24"/>
        </w:rPr>
      </w:pPr>
    </w:p>
    <w:p w:rsidR="00DA6747" w:rsidRDefault="00DA6747" w:rsidP="003E2598"/>
    <w:p w:rsidR="00DA6747" w:rsidRDefault="00D900F7" w:rsidP="00DA6747">
      <w:pPr>
        <w:tabs>
          <w:tab w:val="left" w:pos="378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Note: </w:t>
      </w:r>
      <w:r w:rsidR="00DA6747" w:rsidRPr="00DA6747">
        <w:rPr>
          <w:rFonts w:ascii="Trebuchet MS" w:hAnsi="Trebuchet MS"/>
          <w:sz w:val="20"/>
        </w:rPr>
        <w:t>For International Option participan</w:t>
      </w:r>
      <w:r w:rsidR="00FE0BE8">
        <w:rPr>
          <w:rFonts w:ascii="Trebuchet MS" w:hAnsi="Trebuchet MS"/>
          <w:sz w:val="20"/>
        </w:rPr>
        <w:t>ts, the U.S. pharmacy benefit manager</w:t>
      </w:r>
      <w:r w:rsidR="00DA6747" w:rsidRPr="00DA6747">
        <w:rPr>
          <w:rFonts w:ascii="Trebuchet MS" w:hAnsi="Trebuchet MS"/>
          <w:sz w:val="20"/>
        </w:rPr>
        <w:t xml:space="preserve"> will send a record of U.S. network pharmacy purchases to </w:t>
      </w:r>
      <w:r w:rsidR="00C24A9A">
        <w:rPr>
          <w:rFonts w:ascii="Trebuchet MS" w:hAnsi="Trebuchet MS"/>
          <w:sz w:val="20"/>
        </w:rPr>
        <w:t>Cigna</w:t>
      </w:r>
      <w:r w:rsidR="00DA6747" w:rsidRPr="00DA6747">
        <w:rPr>
          <w:rFonts w:ascii="Trebuchet MS" w:hAnsi="Trebuchet MS"/>
          <w:sz w:val="20"/>
        </w:rPr>
        <w:t xml:space="preserve"> after the end of the plan year for reconciliation.  International Option participants who met their medical out of pocket maxi</w:t>
      </w:r>
      <w:r w:rsidR="00FE0BE8">
        <w:rPr>
          <w:rFonts w:ascii="Trebuchet MS" w:hAnsi="Trebuchet MS"/>
          <w:sz w:val="20"/>
        </w:rPr>
        <w:t>mum and who also had U.S. pharmacy</w:t>
      </w:r>
      <w:r w:rsidR="00DA6747" w:rsidRPr="00DA6747">
        <w:rPr>
          <w:rFonts w:ascii="Trebuchet MS" w:hAnsi="Trebuchet MS"/>
          <w:sz w:val="20"/>
        </w:rPr>
        <w:t xml:space="preserve"> out of pocket expenses during the same </w:t>
      </w:r>
      <w:r w:rsidR="005975F2" w:rsidRPr="00DA6747">
        <w:rPr>
          <w:rFonts w:ascii="Trebuchet MS" w:hAnsi="Trebuchet MS"/>
          <w:sz w:val="20"/>
        </w:rPr>
        <w:t>plan year</w:t>
      </w:r>
      <w:r w:rsidR="00DA6747" w:rsidRPr="00DA6747">
        <w:rPr>
          <w:rFonts w:ascii="Trebuchet MS" w:hAnsi="Trebuchet MS"/>
          <w:sz w:val="20"/>
        </w:rPr>
        <w:t xml:space="preserve"> will receive reimbursement for the out of pocket </w:t>
      </w:r>
      <w:r w:rsidR="00FE0BE8">
        <w:rPr>
          <w:rFonts w:ascii="Trebuchet MS" w:hAnsi="Trebuchet MS"/>
          <w:sz w:val="20"/>
        </w:rPr>
        <w:t>U.S. pharmacy</w:t>
      </w:r>
      <w:r w:rsidR="00DA6747" w:rsidRPr="00DA6747">
        <w:rPr>
          <w:rFonts w:ascii="Trebuchet MS" w:hAnsi="Trebuchet MS"/>
          <w:sz w:val="20"/>
        </w:rPr>
        <w:t xml:space="preserve"> costs from </w:t>
      </w:r>
      <w:r w:rsidR="00C24A9A">
        <w:rPr>
          <w:rFonts w:ascii="Trebuchet MS" w:hAnsi="Trebuchet MS"/>
          <w:sz w:val="20"/>
        </w:rPr>
        <w:t>Cigna</w:t>
      </w:r>
      <w:r w:rsidR="00DA6747" w:rsidRPr="00DA6747">
        <w:rPr>
          <w:rFonts w:ascii="Trebuchet MS" w:hAnsi="Trebuchet MS"/>
          <w:sz w:val="20"/>
        </w:rPr>
        <w:t xml:space="preserve"> after reconciliation.  </w:t>
      </w:r>
    </w:p>
    <w:p w:rsidR="00266213" w:rsidRDefault="00266213" w:rsidP="00DA6747">
      <w:pPr>
        <w:tabs>
          <w:tab w:val="left" w:pos="3780"/>
        </w:tabs>
        <w:rPr>
          <w:rFonts w:ascii="Trebuchet MS" w:hAnsi="Trebuchet MS"/>
          <w:sz w:val="20"/>
        </w:rPr>
      </w:pPr>
    </w:p>
    <w:p w:rsidR="00266213" w:rsidRDefault="00266213" w:rsidP="00DA6747">
      <w:pPr>
        <w:tabs>
          <w:tab w:val="left" w:pos="3780"/>
        </w:tabs>
        <w:rPr>
          <w:rFonts w:ascii="Trebuchet MS" w:hAnsi="Trebuchet MS"/>
          <w:sz w:val="20"/>
        </w:rPr>
      </w:pPr>
    </w:p>
    <w:p w:rsidR="00266213" w:rsidRDefault="00266213" w:rsidP="00DA6747">
      <w:pPr>
        <w:tabs>
          <w:tab w:val="left" w:pos="3780"/>
        </w:tabs>
        <w:rPr>
          <w:rFonts w:ascii="Trebuchet MS" w:hAnsi="Trebuchet MS"/>
          <w:sz w:val="20"/>
        </w:rPr>
      </w:pPr>
    </w:p>
    <w:p w:rsidR="00266213" w:rsidRDefault="00266213" w:rsidP="00DA6747">
      <w:pPr>
        <w:tabs>
          <w:tab w:val="left" w:pos="3780"/>
        </w:tabs>
        <w:rPr>
          <w:rFonts w:ascii="Trebuchet MS" w:hAnsi="Trebuchet MS"/>
          <w:sz w:val="20"/>
        </w:rPr>
      </w:pPr>
    </w:p>
    <w:p w:rsidR="00266213" w:rsidRDefault="00266213" w:rsidP="00DA6747">
      <w:pPr>
        <w:tabs>
          <w:tab w:val="left" w:pos="3780"/>
        </w:tabs>
        <w:rPr>
          <w:rFonts w:ascii="Trebuchet MS" w:hAnsi="Trebuchet MS"/>
          <w:sz w:val="20"/>
        </w:rPr>
      </w:pPr>
    </w:p>
    <w:p w:rsidR="00266213" w:rsidRDefault="00266213" w:rsidP="00DA6747">
      <w:pPr>
        <w:tabs>
          <w:tab w:val="left" w:pos="3780"/>
        </w:tabs>
        <w:rPr>
          <w:rFonts w:ascii="Trebuchet MS" w:hAnsi="Trebuchet MS"/>
          <w:sz w:val="20"/>
        </w:rPr>
      </w:pPr>
    </w:p>
    <w:p w:rsidR="00266213" w:rsidRDefault="00266213" w:rsidP="00DA6747">
      <w:pPr>
        <w:tabs>
          <w:tab w:val="left" w:pos="3780"/>
        </w:tabs>
        <w:rPr>
          <w:rFonts w:ascii="Trebuchet MS" w:hAnsi="Trebuchet MS"/>
          <w:sz w:val="20"/>
        </w:rPr>
      </w:pPr>
    </w:p>
    <w:p w:rsidR="00266213" w:rsidRPr="00DA6747" w:rsidRDefault="00266213" w:rsidP="00DA6747">
      <w:pPr>
        <w:tabs>
          <w:tab w:val="left" w:pos="3780"/>
        </w:tabs>
        <w:rPr>
          <w:rFonts w:ascii="Trebuchet MS" w:hAnsi="Trebuchet MS"/>
          <w:sz w:val="20"/>
        </w:rPr>
      </w:pPr>
    </w:p>
    <w:p w:rsidR="00DA6747" w:rsidRPr="00DA6747" w:rsidRDefault="00DA6747">
      <w:pPr>
        <w:rPr>
          <w:sz w:val="20"/>
        </w:rPr>
      </w:pPr>
    </w:p>
    <w:p w:rsidR="006E36A1" w:rsidRPr="007149CE" w:rsidRDefault="006E36A1" w:rsidP="00CB20D7">
      <w:pPr>
        <w:tabs>
          <w:tab w:val="left" w:pos="3780"/>
        </w:tabs>
        <w:rPr>
          <w:rFonts w:ascii="Trebuchet MS" w:hAnsi="Trebuchet MS"/>
          <w:sz w:val="16"/>
          <w:szCs w:val="16"/>
        </w:rPr>
      </w:pPr>
    </w:p>
    <w:p w:rsidR="004E073F" w:rsidRPr="00D900F7" w:rsidRDefault="004E073F" w:rsidP="00A53735">
      <w:pPr>
        <w:tabs>
          <w:tab w:val="left" w:pos="3780"/>
        </w:tabs>
        <w:rPr>
          <w:rFonts w:ascii="Trebuchet MS" w:hAnsi="Trebuchet MS"/>
          <w:b/>
          <w:szCs w:val="24"/>
        </w:rPr>
      </w:pPr>
    </w:p>
    <w:p w:rsidR="00D900F7" w:rsidRPr="00D900F7" w:rsidRDefault="00D900F7" w:rsidP="00A53735">
      <w:pPr>
        <w:tabs>
          <w:tab w:val="left" w:pos="3780"/>
        </w:tabs>
        <w:rPr>
          <w:rFonts w:ascii="Trebuchet MS" w:hAnsi="Trebuchet MS"/>
          <w:b/>
          <w:szCs w:val="24"/>
        </w:rPr>
      </w:pPr>
    </w:p>
    <w:p w:rsidR="00266213" w:rsidRDefault="00266213" w:rsidP="00402502">
      <w:pPr>
        <w:ind w:left="220" w:right="-20"/>
        <w:rPr>
          <w:rFonts w:ascii="Trebuchet MS" w:hAnsi="Trebuchet MS"/>
          <w:snapToGrid w:val="0"/>
          <w:sz w:val="16"/>
          <w:szCs w:val="16"/>
        </w:rPr>
      </w:pPr>
    </w:p>
    <w:p w:rsidR="00402502" w:rsidRPr="00266213" w:rsidRDefault="00402502" w:rsidP="00266213">
      <w:pPr>
        <w:pStyle w:val="Heading1"/>
        <w:rPr>
          <w:snapToGrid w:val="0"/>
        </w:rPr>
      </w:pPr>
      <w:r w:rsidRPr="00266213">
        <w:rPr>
          <w:snapToGrid w:val="0"/>
        </w:rPr>
        <w:t>Dental Benefit Summary</w:t>
      </w:r>
      <w:r w:rsidRPr="00266213">
        <w:rPr>
          <w:noProof/>
          <w:snapToGrid w:val="0"/>
        </w:rPr>
        <w:drawing>
          <wp:anchor distT="0" distB="0" distL="114300" distR="114300" simplePos="0" relativeHeight="251659264" behindDoc="0" locked="0" layoutInCell="1" allowOverlap="1" wp14:anchorId="62BC45D7" wp14:editId="6BD02B1C">
            <wp:simplePos x="3418840" y="278130"/>
            <wp:positionH relativeFrom="margin">
              <wp:align>right</wp:align>
            </wp:positionH>
            <wp:positionV relativeFrom="margin">
              <wp:align>top</wp:align>
            </wp:positionV>
            <wp:extent cx="1619250" cy="523875"/>
            <wp:effectExtent l="0" t="0" r="0" b="9525"/>
            <wp:wrapSquare wrapText="bothSides"/>
            <wp:docPr id="2" name="Picture 2" descr="cignalogo_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gnalogo_u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6213">
        <w:rPr>
          <w:snapToGrid w:val="0"/>
        </w:rPr>
        <w:t xml:space="preserve"> –Retiree - Plan 1</w:t>
      </w:r>
    </w:p>
    <w:p w:rsidR="00402502" w:rsidRPr="00266213" w:rsidRDefault="00402502" w:rsidP="00266213">
      <w:pPr>
        <w:widowControl w:val="0"/>
        <w:ind w:right="-20"/>
        <w:rPr>
          <w:rFonts w:ascii="Trebuchet MS" w:hAnsi="Trebuchet MS"/>
          <w:snapToGrid w:val="0"/>
          <w:sz w:val="16"/>
          <w:szCs w:val="16"/>
        </w:rPr>
      </w:pPr>
      <w:r w:rsidRPr="00266213">
        <w:rPr>
          <w:rFonts w:ascii="Trebuchet MS" w:hAnsi="Trebuchet MS"/>
          <w:snapToGrid w:val="0"/>
          <w:sz w:val="16"/>
          <w:szCs w:val="16"/>
        </w:rPr>
        <w:t>All deductibles, plan maximums, and service specific maximums (dollar and occurrence) cross accumulate between in and out of network.</w:t>
      </w:r>
    </w:p>
    <w:tbl>
      <w:tblPr>
        <w:tblW w:w="9699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7"/>
        <w:gridCol w:w="1772"/>
        <w:gridCol w:w="1710"/>
        <w:gridCol w:w="900"/>
        <w:gridCol w:w="1530"/>
      </w:tblGrid>
      <w:tr w:rsidR="00402502" w:rsidRPr="00402502" w:rsidTr="00266213">
        <w:trPr>
          <w:trHeight w:hRule="exact" w:val="303"/>
        </w:trPr>
        <w:tc>
          <w:tcPr>
            <w:tcW w:w="37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02" w:rsidRPr="00266213" w:rsidRDefault="00402502" w:rsidP="00402502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59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02502" w:rsidRPr="00266213" w:rsidRDefault="00402502" w:rsidP="00402502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Cigna Dental PPO</w:t>
            </w:r>
          </w:p>
        </w:tc>
      </w:tr>
      <w:tr w:rsidR="00402502" w:rsidRPr="00402502" w:rsidTr="00266213">
        <w:trPr>
          <w:trHeight w:hRule="exact" w:val="245"/>
        </w:trPr>
        <w:tc>
          <w:tcPr>
            <w:tcW w:w="3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02502" w:rsidRPr="00266213" w:rsidRDefault="00402502" w:rsidP="00402502">
            <w:pPr>
              <w:widowControl w:val="0"/>
              <w:ind w:left="159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Network</w:t>
            </w:r>
          </w:p>
        </w:tc>
        <w:tc>
          <w:tcPr>
            <w:tcW w:w="3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02502" w:rsidRPr="00266213" w:rsidRDefault="00402502" w:rsidP="00402502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Total Cigna DPPO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02502" w:rsidRPr="00266213" w:rsidRDefault="00402502" w:rsidP="00402502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Out-of-Network</w:t>
            </w:r>
          </w:p>
        </w:tc>
      </w:tr>
      <w:tr w:rsidR="00402502" w:rsidRPr="00402502" w:rsidTr="00266213">
        <w:trPr>
          <w:trHeight w:hRule="exact" w:val="475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502" w:rsidRPr="00266213" w:rsidRDefault="00402502" w:rsidP="00402502">
            <w:pPr>
              <w:widowControl w:val="0"/>
              <w:ind w:left="101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Calendar Year Maximum</w:t>
            </w:r>
          </w:p>
          <w:p w:rsidR="00402502" w:rsidRPr="00266213" w:rsidRDefault="00402502" w:rsidP="00402502">
            <w:pPr>
              <w:widowControl w:val="0"/>
              <w:ind w:left="101" w:right="864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(Class I, II &amp; III expenses)</w:t>
            </w:r>
          </w:p>
        </w:tc>
        <w:tc>
          <w:tcPr>
            <w:tcW w:w="3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502" w:rsidRPr="00266213" w:rsidRDefault="00402502" w:rsidP="00402502">
            <w:pPr>
              <w:widowControl w:val="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02502" w:rsidRPr="00266213" w:rsidRDefault="00402502" w:rsidP="00402502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$3,200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502" w:rsidRPr="00266213" w:rsidRDefault="00402502" w:rsidP="00402502">
            <w:pPr>
              <w:widowControl w:val="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02502" w:rsidRPr="00266213" w:rsidRDefault="00402502" w:rsidP="00402502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$3,200</w:t>
            </w:r>
          </w:p>
        </w:tc>
      </w:tr>
      <w:tr w:rsidR="00402502" w:rsidRPr="00402502" w:rsidTr="00266213">
        <w:trPr>
          <w:trHeight w:hRule="exact" w:val="573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502" w:rsidRPr="00266213" w:rsidRDefault="00402502" w:rsidP="00402502">
            <w:pPr>
              <w:widowControl w:val="0"/>
              <w:ind w:left="101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Annual Deductible</w:t>
            </w:r>
          </w:p>
          <w:p w:rsidR="00402502" w:rsidRPr="00266213" w:rsidRDefault="00402502" w:rsidP="00402502">
            <w:pPr>
              <w:widowControl w:val="0"/>
              <w:ind w:left="101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Individual</w:t>
            </w:r>
          </w:p>
          <w:p w:rsidR="00402502" w:rsidRPr="00266213" w:rsidRDefault="00402502" w:rsidP="00402502">
            <w:pPr>
              <w:widowControl w:val="0"/>
              <w:ind w:left="101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Family</w:t>
            </w:r>
          </w:p>
        </w:tc>
        <w:tc>
          <w:tcPr>
            <w:tcW w:w="3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502" w:rsidRPr="00266213" w:rsidRDefault="00402502" w:rsidP="00402502">
            <w:pPr>
              <w:widowControl w:val="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02502" w:rsidRPr="00266213" w:rsidRDefault="00402502" w:rsidP="00402502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$250</w:t>
            </w:r>
          </w:p>
          <w:p w:rsidR="00402502" w:rsidRPr="00266213" w:rsidRDefault="00402502" w:rsidP="00402502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$500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502" w:rsidRPr="00266213" w:rsidRDefault="00402502" w:rsidP="00402502">
            <w:pPr>
              <w:widowControl w:val="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02502" w:rsidRPr="00266213" w:rsidRDefault="00402502" w:rsidP="00402502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$250</w:t>
            </w:r>
          </w:p>
          <w:p w:rsidR="00402502" w:rsidRPr="00266213" w:rsidRDefault="00402502" w:rsidP="00402502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$500</w:t>
            </w:r>
          </w:p>
        </w:tc>
      </w:tr>
      <w:tr w:rsidR="00402502" w:rsidRPr="00402502" w:rsidTr="00A8058F">
        <w:trPr>
          <w:trHeight w:hRule="exact" w:val="393"/>
        </w:trPr>
        <w:tc>
          <w:tcPr>
            <w:tcW w:w="37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2502" w:rsidRPr="00266213" w:rsidRDefault="00402502" w:rsidP="00402502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Reimbursement Levels</w:t>
            </w:r>
          </w:p>
        </w:tc>
        <w:tc>
          <w:tcPr>
            <w:tcW w:w="3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502" w:rsidRPr="00266213" w:rsidRDefault="00402502" w:rsidP="00402502">
            <w:pPr>
              <w:widowControl w:val="0"/>
              <w:ind w:left="96"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Based on Reduced Contracted Fees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502" w:rsidRPr="00266213" w:rsidRDefault="00402502" w:rsidP="00402502">
            <w:pPr>
              <w:widowControl w:val="0"/>
              <w:ind w:left="96"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 xml:space="preserve">80th percentile of Reasonable &amp; Customary Allowances </w:t>
            </w:r>
          </w:p>
        </w:tc>
      </w:tr>
      <w:tr w:rsidR="00402502" w:rsidRPr="00402502" w:rsidTr="00266213">
        <w:trPr>
          <w:trHeight w:hRule="exact" w:val="245"/>
        </w:trPr>
        <w:tc>
          <w:tcPr>
            <w:tcW w:w="37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02502" w:rsidRPr="00266213" w:rsidRDefault="00402502" w:rsidP="00402502">
            <w:pPr>
              <w:widowControl w:val="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 xml:space="preserve">  Benefits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02502" w:rsidRPr="00266213" w:rsidRDefault="00402502" w:rsidP="00402502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Plan Pays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02502" w:rsidRPr="00266213" w:rsidRDefault="00402502" w:rsidP="00402502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You Pay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02502" w:rsidRPr="00266213" w:rsidRDefault="00402502" w:rsidP="00402502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Plan Pays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02502" w:rsidRPr="00266213" w:rsidRDefault="00402502" w:rsidP="00402502">
            <w:pPr>
              <w:widowControl w:val="0"/>
              <w:ind w:left="545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You Pay</w:t>
            </w:r>
          </w:p>
        </w:tc>
      </w:tr>
      <w:tr w:rsidR="00402502" w:rsidRPr="00402502" w:rsidTr="001C3048">
        <w:trPr>
          <w:trHeight w:hRule="exact" w:val="3093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502" w:rsidRPr="00266213" w:rsidRDefault="00402502" w:rsidP="00402502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Class I:  Preventive &amp; Diagnostic</w:t>
            </w:r>
          </w:p>
          <w:p w:rsidR="00402502" w:rsidRPr="00266213" w:rsidRDefault="00402502" w:rsidP="00402502">
            <w:pPr>
              <w:widowControl w:val="0"/>
              <w:ind w:left="96" w:right="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Oral Exams Routine - 2 per calendar year</w:t>
            </w:r>
          </w:p>
          <w:p w:rsidR="00402502" w:rsidRPr="00266213" w:rsidRDefault="00402502" w:rsidP="00402502">
            <w:pPr>
              <w:widowControl w:val="0"/>
              <w:ind w:left="96" w:right="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 xml:space="preserve">Routine </w:t>
            </w:r>
            <w:r w:rsidR="005975F2" w:rsidRPr="00266213">
              <w:rPr>
                <w:rFonts w:ascii="Trebuchet MS" w:hAnsi="Trebuchet MS"/>
                <w:snapToGrid w:val="0"/>
                <w:sz w:val="16"/>
                <w:szCs w:val="16"/>
              </w:rPr>
              <w:t>Cleanings -</w:t>
            </w: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 xml:space="preserve"> 2 per calendar year</w:t>
            </w:r>
          </w:p>
          <w:p w:rsidR="00402502" w:rsidRPr="00266213" w:rsidRDefault="00402502" w:rsidP="00402502">
            <w:pPr>
              <w:widowControl w:val="0"/>
              <w:ind w:left="96" w:right="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Routine X-</w:t>
            </w:r>
            <w:r w:rsidR="005975F2" w:rsidRPr="00266213">
              <w:rPr>
                <w:rFonts w:ascii="Trebuchet MS" w:hAnsi="Trebuchet MS"/>
                <w:snapToGrid w:val="0"/>
                <w:sz w:val="16"/>
                <w:szCs w:val="16"/>
              </w:rPr>
              <w:t>rays -</w:t>
            </w: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 xml:space="preserve"> Bitewings: 2 per calendar year</w:t>
            </w:r>
          </w:p>
          <w:p w:rsidR="00402502" w:rsidRPr="00266213" w:rsidRDefault="00402502" w:rsidP="00402502">
            <w:pPr>
              <w:widowControl w:val="0"/>
              <w:ind w:left="96" w:right="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Non-Routine X-Rays - Full mouth: 1 every 36 consecutive months; Panorex: 1 every 36 consecutive months</w:t>
            </w:r>
          </w:p>
          <w:p w:rsidR="00402502" w:rsidRPr="00266213" w:rsidRDefault="00402502" w:rsidP="00402502">
            <w:pPr>
              <w:widowControl w:val="0"/>
              <w:ind w:left="96" w:right="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 xml:space="preserve">Fluoride </w:t>
            </w:r>
            <w:r w:rsidR="005975F2" w:rsidRPr="00266213">
              <w:rPr>
                <w:rFonts w:ascii="Trebuchet MS" w:hAnsi="Trebuchet MS"/>
                <w:snapToGrid w:val="0"/>
                <w:sz w:val="16"/>
                <w:szCs w:val="16"/>
              </w:rPr>
              <w:t>Application -</w:t>
            </w: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 xml:space="preserve"> 1 per calendar year under age19</w:t>
            </w:r>
          </w:p>
          <w:p w:rsidR="00402502" w:rsidRPr="00266213" w:rsidRDefault="00402502" w:rsidP="00402502">
            <w:pPr>
              <w:widowControl w:val="0"/>
              <w:ind w:left="96" w:right="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Sealants - Limited to posterior tooth. 1 treatment per tooth every three years up to age 14</w:t>
            </w:r>
          </w:p>
          <w:p w:rsidR="00402502" w:rsidRPr="00266213" w:rsidRDefault="00402502" w:rsidP="00B24276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Space Maintainers - Limited to non-orthodontic treatment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502" w:rsidRPr="00266213" w:rsidRDefault="00402502" w:rsidP="001C3048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100%</w:t>
            </w:r>
          </w:p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No 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502" w:rsidRPr="00266213" w:rsidRDefault="00402502" w:rsidP="001C3048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No Charge</w:t>
            </w:r>
          </w:p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No Deductible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502" w:rsidRPr="00266213" w:rsidRDefault="00402502" w:rsidP="001C3048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80%</w:t>
            </w:r>
          </w:p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No Deductible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502" w:rsidRPr="00266213" w:rsidRDefault="00402502" w:rsidP="001C3048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20%</w:t>
            </w:r>
          </w:p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No Deductible</w:t>
            </w:r>
          </w:p>
        </w:tc>
      </w:tr>
      <w:tr w:rsidR="00402502" w:rsidRPr="00402502" w:rsidTr="00B24276">
        <w:trPr>
          <w:trHeight w:hRule="exact" w:val="1860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502" w:rsidRPr="00266213" w:rsidRDefault="00402502" w:rsidP="00402502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 xml:space="preserve">Class II: Basic Restorative </w:t>
            </w:r>
          </w:p>
          <w:p w:rsidR="00402502" w:rsidRPr="00266213" w:rsidRDefault="00402502" w:rsidP="00402502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Fillings</w:t>
            </w:r>
          </w:p>
          <w:p w:rsidR="00402502" w:rsidRPr="00266213" w:rsidRDefault="00402502" w:rsidP="00402502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Root Canal Therapy / Endodontics</w:t>
            </w:r>
          </w:p>
          <w:p w:rsidR="00402502" w:rsidRPr="00266213" w:rsidRDefault="00402502" w:rsidP="00402502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Emergency Care to Relieve Pain</w:t>
            </w:r>
          </w:p>
          <w:p w:rsidR="00402502" w:rsidRPr="00266213" w:rsidRDefault="00402502" w:rsidP="00402502">
            <w:pPr>
              <w:widowControl w:val="0"/>
              <w:ind w:left="96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 xml:space="preserve">Root </w:t>
            </w:r>
            <w:proofErr w:type="spellStart"/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Planing</w:t>
            </w:r>
            <w:proofErr w:type="spellEnd"/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 xml:space="preserve"> and Scaling - Various limitations depending on the service</w:t>
            </w:r>
          </w:p>
          <w:p w:rsidR="00402502" w:rsidRPr="00266213" w:rsidRDefault="00402502" w:rsidP="00402502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Splinting</w:t>
            </w:r>
          </w:p>
          <w:p w:rsidR="00402502" w:rsidRPr="00266213" w:rsidRDefault="00402502" w:rsidP="00402502">
            <w:pPr>
              <w:widowControl w:val="0"/>
              <w:ind w:left="96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Oral Surgery – Simple Extractions</w:t>
            </w:r>
          </w:p>
          <w:p w:rsidR="00402502" w:rsidRPr="00266213" w:rsidRDefault="00402502" w:rsidP="00402502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Anesthesia</w:t>
            </w:r>
          </w:p>
          <w:p w:rsidR="00402502" w:rsidRPr="00266213" w:rsidRDefault="00402502" w:rsidP="00402502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80%</w:t>
            </w:r>
          </w:p>
          <w:p w:rsidR="00402502" w:rsidRPr="00266213" w:rsidRDefault="005975F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20%</w:t>
            </w:r>
          </w:p>
          <w:p w:rsidR="00402502" w:rsidRPr="00266213" w:rsidRDefault="005975F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502" w:rsidRPr="00266213" w:rsidRDefault="000F0091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>8</w:t>
            </w: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0</w:t>
            </w:r>
            <w:r w:rsidR="00402502" w:rsidRPr="00266213">
              <w:rPr>
                <w:rFonts w:ascii="Trebuchet MS" w:hAnsi="Trebuchet MS"/>
                <w:snapToGrid w:val="0"/>
                <w:sz w:val="16"/>
                <w:szCs w:val="16"/>
              </w:rPr>
              <w:t>%</w:t>
            </w:r>
          </w:p>
          <w:p w:rsidR="00402502" w:rsidRPr="00266213" w:rsidRDefault="005975F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502" w:rsidRPr="00266213" w:rsidRDefault="000F0091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>2</w:t>
            </w: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0</w:t>
            </w:r>
            <w:r w:rsidR="00402502" w:rsidRPr="00266213">
              <w:rPr>
                <w:rFonts w:ascii="Trebuchet MS" w:hAnsi="Trebuchet MS"/>
                <w:snapToGrid w:val="0"/>
                <w:sz w:val="16"/>
                <w:szCs w:val="16"/>
              </w:rPr>
              <w:t>%</w:t>
            </w:r>
          </w:p>
          <w:p w:rsidR="00402502" w:rsidRPr="00266213" w:rsidRDefault="005975F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</w:tr>
      <w:tr w:rsidR="00402502" w:rsidRPr="00402502" w:rsidTr="001C3048">
        <w:trPr>
          <w:trHeight w:hRule="exact" w:val="2967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502" w:rsidRPr="00266213" w:rsidRDefault="00402502" w:rsidP="00402502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Class III:  Major Restorative</w:t>
            </w:r>
          </w:p>
          <w:p w:rsidR="00402502" w:rsidRPr="00266213" w:rsidRDefault="00402502" w:rsidP="00402502">
            <w:pPr>
              <w:widowControl w:val="0"/>
              <w:ind w:left="96" w:right="864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Crowns – Replacement every 5 years</w:t>
            </w:r>
          </w:p>
          <w:p w:rsidR="00402502" w:rsidRPr="00266213" w:rsidRDefault="00402502" w:rsidP="00402502">
            <w:pPr>
              <w:widowControl w:val="0"/>
              <w:ind w:left="96" w:right="864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Dentures – Replacement every 5 years</w:t>
            </w:r>
          </w:p>
          <w:p w:rsidR="00402502" w:rsidRPr="00266213" w:rsidRDefault="00402502" w:rsidP="00402502">
            <w:pPr>
              <w:widowControl w:val="0"/>
              <w:ind w:left="96" w:right="864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Bridges – Replacement every 5 years</w:t>
            </w:r>
          </w:p>
          <w:p w:rsidR="00402502" w:rsidRPr="00266213" w:rsidRDefault="00402502" w:rsidP="00402502">
            <w:pPr>
              <w:widowControl w:val="0"/>
              <w:ind w:left="96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Inlays / Onlays – Replacement every 5 years</w:t>
            </w:r>
          </w:p>
          <w:p w:rsidR="00402502" w:rsidRPr="00266213" w:rsidRDefault="00402502" w:rsidP="00402502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 xml:space="preserve">Prosthesis Over Implant - 1 per every 5 years if unserviceable and cannot be repaired. Benefits are based on the amount payable for non- precious metals. </w:t>
            </w:r>
          </w:p>
          <w:p w:rsidR="00402502" w:rsidRPr="00266213" w:rsidRDefault="00402502" w:rsidP="00402502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Repairs to Dentures, Bridges, Crowns and Inlays - Reviewed if more than once</w:t>
            </w:r>
          </w:p>
          <w:p w:rsidR="00402502" w:rsidRPr="00266213" w:rsidRDefault="00402502" w:rsidP="00402502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Stainless Steel/Resin Crowns</w:t>
            </w:r>
          </w:p>
          <w:p w:rsidR="00402502" w:rsidRPr="00266213" w:rsidRDefault="00402502" w:rsidP="00402502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Transepithelial Cytologic / Brush Biopsies</w:t>
            </w:r>
          </w:p>
          <w:p w:rsidR="00402502" w:rsidRPr="00266213" w:rsidRDefault="00402502" w:rsidP="00402502">
            <w:pPr>
              <w:widowControl w:val="0"/>
              <w:ind w:left="96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Relines, Rebases and Adjustments – Covered if more than 6 months after installation</w:t>
            </w:r>
          </w:p>
          <w:p w:rsidR="00402502" w:rsidRPr="00266213" w:rsidRDefault="00402502" w:rsidP="00402502">
            <w:pPr>
              <w:widowControl w:val="0"/>
              <w:ind w:left="96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02502" w:rsidRPr="00266213" w:rsidRDefault="00402502" w:rsidP="00402502">
            <w:pPr>
              <w:widowControl w:val="0"/>
              <w:ind w:left="96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80%</w:t>
            </w:r>
          </w:p>
          <w:p w:rsidR="00402502" w:rsidRPr="00266213" w:rsidRDefault="005975F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20%</w:t>
            </w:r>
          </w:p>
          <w:p w:rsidR="00402502" w:rsidRPr="00266213" w:rsidRDefault="005975F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502" w:rsidRPr="00266213" w:rsidRDefault="000F0091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>8</w:t>
            </w: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0</w:t>
            </w:r>
            <w:r w:rsidR="00402502" w:rsidRPr="00266213">
              <w:rPr>
                <w:rFonts w:ascii="Trebuchet MS" w:hAnsi="Trebuchet MS"/>
                <w:snapToGrid w:val="0"/>
                <w:sz w:val="16"/>
                <w:szCs w:val="16"/>
              </w:rPr>
              <w:t>%</w:t>
            </w:r>
          </w:p>
          <w:p w:rsidR="00402502" w:rsidRPr="00266213" w:rsidRDefault="005975F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502" w:rsidRPr="00266213" w:rsidRDefault="000F0091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>2</w:t>
            </w: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0</w:t>
            </w:r>
            <w:r w:rsidR="00402502" w:rsidRPr="00266213">
              <w:rPr>
                <w:rFonts w:ascii="Trebuchet MS" w:hAnsi="Trebuchet MS"/>
                <w:snapToGrid w:val="0"/>
                <w:sz w:val="16"/>
                <w:szCs w:val="16"/>
              </w:rPr>
              <w:t>%</w:t>
            </w:r>
          </w:p>
          <w:p w:rsidR="00402502" w:rsidRPr="00266213" w:rsidRDefault="005975F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</w:tr>
      <w:tr w:rsidR="00402502" w:rsidRPr="00402502" w:rsidTr="001C3048">
        <w:trPr>
          <w:trHeight w:hRule="exact" w:val="9"/>
        </w:trPr>
        <w:tc>
          <w:tcPr>
            <w:tcW w:w="3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502" w:rsidRPr="00266213" w:rsidRDefault="00402502" w:rsidP="00402502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Relines, Rebases, Denture Adjustments - Covered if more than 6 months after installation</w:t>
            </w:r>
          </w:p>
          <w:p w:rsidR="00402502" w:rsidRPr="00266213" w:rsidRDefault="00402502" w:rsidP="00402502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</w:tr>
      <w:tr w:rsidR="00402502" w:rsidRPr="00402502" w:rsidTr="001C3048">
        <w:trPr>
          <w:trHeight w:hRule="exact" w:val="1428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02502" w:rsidRPr="00266213" w:rsidRDefault="00402502" w:rsidP="00402502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Class IV: Orthodontia</w:t>
            </w:r>
          </w:p>
          <w:p w:rsidR="00402502" w:rsidRPr="00266213" w:rsidRDefault="00402502" w:rsidP="00402502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02502" w:rsidRPr="00266213" w:rsidRDefault="00402502" w:rsidP="00402502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Lifetime Maximum</w:t>
            </w:r>
          </w:p>
          <w:p w:rsidR="00402502" w:rsidRPr="00266213" w:rsidRDefault="00402502" w:rsidP="00402502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02502" w:rsidRPr="00266213" w:rsidRDefault="00402502" w:rsidP="00402502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Study Models or Diagnostic Casts - Payable only when in conjunction with orthodontic workup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80%</w:t>
            </w:r>
          </w:p>
          <w:p w:rsidR="00402502" w:rsidRPr="00266213" w:rsidRDefault="005975F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  <w:p w:rsidR="00402502" w:rsidRPr="00266213" w:rsidRDefault="00402502" w:rsidP="001C3048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02502" w:rsidRPr="00266213" w:rsidRDefault="00402502" w:rsidP="001C3048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$2,400</w:t>
            </w:r>
          </w:p>
          <w:p w:rsidR="00402502" w:rsidRPr="00266213" w:rsidRDefault="00402502" w:rsidP="001C3048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20%</w:t>
            </w:r>
          </w:p>
          <w:p w:rsidR="00402502" w:rsidRPr="00266213" w:rsidRDefault="005975F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02502" w:rsidRPr="00266213" w:rsidRDefault="00402502" w:rsidP="001C3048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02502" w:rsidRPr="00266213" w:rsidRDefault="000F0091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>8</w:t>
            </w: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0</w:t>
            </w:r>
            <w:r w:rsidR="00402502" w:rsidRPr="00266213">
              <w:rPr>
                <w:rFonts w:ascii="Trebuchet MS" w:hAnsi="Trebuchet MS"/>
                <w:snapToGrid w:val="0"/>
                <w:sz w:val="16"/>
                <w:szCs w:val="16"/>
              </w:rPr>
              <w:t>%</w:t>
            </w:r>
          </w:p>
          <w:p w:rsidR="00402502" w:rsidRPr="00266213" w:rsidRDefault="005975F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  <w:p w:rsidR="00402502" w:rsidRPr="00266213" w:rsidRDefault="00402502" w:rsidP="001C3048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02502" w:rsidRPr="00266213" w:rsidRDefault="00402502" w:rsidP="001C3048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$2,400</w:t>
            </w:r>
          </w:p>
          <w:p w:rsidR="00402502" w:rsidRPr="00266213" w:rsidRDefault="00402502" w:rsidP="001C3048">
            <w:pPr>
              <w:widowControl w:val="0"/>
              <w:ind w:left="96" w:right="4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502" w:rsidRPr="00266213" w:rsidRDefault="000F0091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>2</w:t>
            </w: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0</w:t>
            </w:r>
            <w:r w:rsidR="00402502" w:rsidRPr="00266213">
              <w:rPr>
                <w:rFonts w:ascii="Trebuchet MS" w:hAnsi="Trebuchet MS"/>
                <w:snapToGrid w:val="0"/>
                <w:sz w:val="16"/>
                <w:szCs w:val="16"/>
              </w:rPr>
              <w:t>%</w:t>
            </w:r>
          </w:p>
          <w:p w:rsidR="00402502" w:rsidRPr="00266213" w:rsidRDefault="005975F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02502" w:rsidRPr="00266213" w:rsidRDefault="00402502" w:rsidP="001C3048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02502" w:rsidRPr="00266213" w:rsidRDefault="00402502" w:rsidP="001C3048">
            <w:pPr>
              <w:widowControl w:val="0"/>
              <w:ind w:right="46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</w:tr>
      <w:tr w:rsidR="00402502" w:rsidRPr="00402502" w:rsidTr="00B24276">
        <w:trPr>
          <w:trHeight w:hRule="exact" w:val="243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2502" w:rsidRPr="00266213" w:rsidRDefault="00402502" w:rsidP="00B24276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 xml:space="preserve">Class VI: Periodontal </w:t>
            </w:r>
          </w:p>
          <w:p w:rsidR="00402502" w:rsidRPr="00266213" w:rsidRDefault="00402502" w:rsidP="00B24276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02502" w:rsidRPr="00266213" w:rsidRDefault="00402502" w:rsidP="00B24276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Gingivectomy</w:t>
            </w:r>
          </w:p>
          <w:p w:rsidR="00402502" w:rsidRPr="00266213" w:rsidRDefault="00402502" w:rsidP="00B24276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proofErr w:type="spellStart"/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Gingivioplasty</w:t>
            </w:r>
            <w:proofErr w:type="spellEnd"/>
          </w:p>
          <w:p w:rsidR="00402502" w:rsidRPr="00266213" w:rsidRDefault="00402502" w:rsidP="00B24276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proofErr w:type="spellStart"/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Alveoplasty</w:t>
            </w:r>
            <w:proofErr w:type="spellEnd"/>
          </w:p>
          <w:p w:rsidR="00402502" w:rsidRPr="00266213" w:rsidRDefault="00402502" w:rsidP="00B24276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proofErr w:type="spellStart"/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Vestibuloplasty</w:t>
            </w:r>
            <w:proofErr w:type="spellEnd"/>
          </w:p>
          <w:p w:rsidR="00402502" w:rsidRDefault="00402502" w:rsidP="00B24276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Osseous Surgery</w:t>
            </w:r>
          </w:p>
          <w:p w:rsidR="001C3048" w:rsidRDefault="001C3048" w:rsidP="00B24276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02502" w:rsidRPr="00266213" w:rsidRDefault="001C3048" w:rsidP="00B24276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1C3048">
              <w:rPr>
                <w:rFonts w:ascii="Trebuchet MS" w:hAnsi="Trebuchet MS"/>
                <w:snapToGrid w:val="0"/>
                <w:sz w:val="16"/>
                <w:szCs w:val="16"/>
              </w:rPr>
              <w:t xml:space="preserve">Separate $250 Calendar Year Deductible to cross </w:t>
            </w:r>
            <w:r w:rsidR="005975F2" w:rsidRPr="001C3048">
              <w:rPr>
                <w:rFonts w:ascii="Trebuchet MS" w:hAnsi="Trebuchet MS"/>
                <w:snapToGrid w:val="0"/>
                <w:sz w:val="16"/>
                <w:szCs w:val="16"/>
              </w:rPr>
              <w:t>accumulate between</w:t>
            </w:r>
            <w:r w:rsidRPr="001C3048">
              <w:rPr>
                <w:rFonts w:ascii="Trebuchet MS" w:hAnsi="Trebuchet MS"/>
                <w:snapToGrid w:val="0"/>
                <w:sz w:val="16"/>
                <w:szCs w:val="16"/>
              </w:rPr>
              <w:t xml:space="preserve"> classes VI, VII, IX</w:t>
            </w:r>
          </w:p>
          <w:p w:rsidR="00402502" w:rsidRPr="00266213" w:rsidRDefault="00402502" w:rsidP="00B24276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02502" w:rsidRPr="00266213" w:rsidRDefault="00402502" w:rsidP="00B24276">
            <w:pPr>
              <w:ind w:left="77"/>
              <w:outlineLvl w:val="5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No Annual or Lifetime Maximums apply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90%</w:t>
            </w:r>
          </w:p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10%</w:t>
            </w:r>
          </w:p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80%</w:t>
            </w:r>
          </w:p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20%</w:t>
            </w:r>
          </w:p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</w:tr>
      <w:tr w:rsidR="00402502" w:rsidRPr="00402502" w:rsidTr="00B24276">
        <w:trPr>
          <w:trHeight w:hRule="exact" w:val="1797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2502" w:rsidRPr="00266213" w:rsidRDefault="00402502" w:rsidP="00B24276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Class VII: Oral Surgery</w:t>
            </w:r>
          </w:p>
          <w:p w:rsidR="00402502" w:rsidRPr="00266213" w:rsidRDefault="00402502" w:rsidP="00B24276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02502" w:rsidRPr="00266213" w:rsidRDefault="00402502" w:rsidP="00B24276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Surgical Extractions of Impacted Teeth</w:t>
            </w:r>
          </w:p>
          <w:p w:rsidR="00402502" w:rsidRDefault="00402502" w:rsidP="00B24276">
            <w:pPr>
              <w:ind w:left="77"/>
              <w:outlineLvl w:val="5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1C3048" w:rsidRPr="00266213" w:rsidRDefault="001C3048" w:rsidP="00B24276">
            <w:pPr>
              <w:ind w:left="77"/>
              <w:outlineLvl w:val="5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1C3048">
              <w:rPr>
                <w:rFonts w:ascii="Trebuchet MS" w:hAnsi="Trebuchet MS"/>
                <w:snapToGrid w:val="0"/>
                <w:sz w:val="16"/>
                <w:szCs w:val="16"/>
              </w:rPr>
              <w:t xml:space="preserve">Separate $250 Calendar Year Deductible to cross </w:t>
            </w:r>
            <w:r w:rsidR="005975F2" w:rsidRPr="001C3048">
              <w:rPr>
                <w:rFonts w:ascii="Trebuchet MS" w:hAnsi="Trebuchet MS"/>
                <w:snapToGrid w:val="0"/>
                <w:sz w:val="16"/>
                <w:szCs w:val="16"/>
              </w:rPr>
              <w:t>accumulate between</w:t>
            </w:r>
            <w:r w:rsidRPr="001C3048">
              <w:rPr>
                <w:rFonts w:ascii="Trebuchet MS" w:hAnsi="Trebuchet MS"/>
                <w:snapToGrid w:val="0"/>
                <w:sz w:val="16"/>
                <w:szCs w:val="16"/>
              </w:rPr>
              <w:t xml:space="preserve"> classes VI, VII, IX</w:t>
            </w:r>
          </w:p>
          <w:p w:rsidR="00402502" w:rsidRPr="00266213" w:rsidRDefault="00402502" w:rsidP="00B24276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02502" w:rsidRPr="00266213" w:rsidRDefault="00402502" w:rsidP="00B24276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No Annual or Lifetime Maximums apply</w:t>
            </w:r>
          </w:p>
          <w:p w:rsidR="00402502" w:rsidRPr="00266213" w:rsidRDefault="00402502" w:rsidP="00B24276">
            <w:pPr>
              <w:ind w:left="77"/>
              <w:outlineLvl w:val="5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90%</w:t>
            </w:r>
          </w:p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10%</w:t>
            </w:r>
          </w:p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80%</w:t>
            </w:r>
          </w:p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20%</w:t>
            </w:r>
          </w:p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</w:tr>
      <w:tr w:rsidR="00402502" w:rsidRPr="00402502" w:rsidTr="00B24276">
        <w:trPr>
          <w:trHeight w:hRule="exact" w:val="1590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2502" w:rsidRPr="00266213" w:rsidRDefault="00402502" w:rsidP="00B24276">
            <w:pPr>
              <w:outlineLvl w:val="5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Class IX: Surgical Implants</w:t>
            </w:r>
          </w:p>
          <w:p w:rsidR="00402502" w:rsidRPr="00266213" w:rsidRDefault="00402502" w:rsidP="00B24276">
            <w:pPr>
              <w:ind w:firstLine="77"/>
              <w:outlineLvl w:val="5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02502" w:rsidRPr="00266213" w:rsidRDefault="001C3048" w:rsidP="00B24276">
            <w:pPr>
              <w:widowControl w:val="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1C3048">
              <w:rPr>
                <w:rFonts w:ascii="Trebuchet MS" w:hAnsi="Trebuchet MS"/>
                <w:snapToGrid w:val="0"/>
                <w:sz w:val="16"/>
                <w:szCs w:val="16"/>
              </w:rPr>
              <w:t xml:space="preserve">Separate $250 Calendar Year Deductible to cross </w:t>
            </w:r>
            <w:r w:rsidR="005975F2" w:rsidRPr="001C3048">
              <w:rPr>
                <w:rFonts w:ascii="Trebuchet MS" w:hAnsi="Trebuchet MS"/>
                <w:snapToGrid w:val="0"/>
                <w:sz w:val="16"/>
                <w:szCs w:val="16"/>
              </w:rPr>
              <w:t>accumulate between</w:t>
            </w:r>
            <w:r w:rsidRPr="001C3048">
              <w:rPr>
                <w:rFonts w:ascii="Trebuchet MS" w:hAnsi="Trebuchet MS"/>
                <w:snapToGrid w:val="0"/>
                <w:sz w:val="16"/>
                <w:szCs w:val="16"/>
              </w:rPr>
              <w:t xml:space="preserve"> classes VI, VII, IX</w:t>
            </w:r>
          </w:p>
          <w:p w:rsidR="00402502" w:rsidRPr="00266213" w:rsidRDefault="00402502" w:rsidP="00B24276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402502" w:rsidRPr="00266213" w:rsidRDefault="00402502" w:rsidP="00B24276">
            <w:pPr>
              <w:widowControl w:val="0"/>
              <w:ind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No Annual or Lifetime Maximums apply</w:t>
            </w:r>
          </w:p>
          <w:p w:rsidR="00402502" w:rsidRPr="00266213" w:rsidRDefault="00402502" w:rsidP="00B24276">
            <w:pPr>
              <w:ind w:firstLine="77"/>
              <w:outlineLvl w:val="5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90%</w:t>
            </w:r>
          </w:p>
          <w:p w:rsidR="00402502" w:rsidRPr="00266213" w:rsidRDefault="005975F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10%</w:t>
            </w:r>
          </w:p>
          <w:p w:rsidR="00402502" w:rsidRPr="00266213" w:rsidRDefault="005975F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80%</w:t>
            </w:r>
          </w:p>
          <w:p w:rsidR="00402502" w:rsidRPr="00266213" w:rsidRDefault="005975F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20%</w:t>
            </w:r>
          </w:p>
          <w:p w:rsidR="00402502" w:rsidRPr="00266213" w:rsidRDefault="005975F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66213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  <w:p w:rsidR="00402502" w:rsidRPr="00266213" w:rsidRDefault="00402502" w:rsidP="001C304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</w:tr>
    </w:tbl>
    <w:p w:rsidR="00D900F7" w:rsidRPr="00266213" w:rsidRDefault="00D900F7" w:rsidP="00A53735">
      <w:pPr>
        <w:tabs>
          <w:tab w:val="left" w:pos="3780"/>
        </w:tabs>
        <w:rPr>
          <w:rFonts w:ascii="Trebuchet MS" w:hAnsi="Trebuchet MS"/>
          <w:snapToGrid w:val="0"/>
          <w:sz w:val="16"/>
          <w:szCs w:val="16"/>
        </w:rPr>
      </w:pPr>
      <w:r w:rsidRPr="00266213">
        <w:rPr>
          <w:rFonts w:ascii="Trebuchet MS" w:hAnsi="Trebuchet MS"/>
          <w:snapToGrid w:val="0"/>
          <w:sz w:val="16"/>
          <w:szCs w:val="16"/>
        </w:rPr>
        <w:t xml:space="preserve"> </w:t>
      </w:r>
    </w:p>
    <w:sectPr w:rsidR="00D900F7" w:rsidRPr="00266213" w:rsidSect="003E3328">
      <w:headerReference w:type="default" r:id="rId13"/>
      <w:footerReference w:type="default" r:id="rId14"/>
      <w:pgSz w:w="12240" w:h="15840" w:code="1"/>
      <w:pgMar w:top="720" w:right="1440" w:bottom="720" w:left="1440" w:header="720" w:footer="2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1B" w:rsidRPr="003E3328" w:rsidRDefault="00777D1B">
      <w:pPr>
        <w:rPr>
          <w:sz w:val="21"/>
          <w:szCs w:val="21"/>
        </w:rPr>
      </w:pPr>
      <w:r w:rsidRPr="003E3328">
        <w:rPr>
          <w:sz w:val="21"/>
          <w:szCs w:val="21"/>
        </w:rPr>
        <w:separator/>
      </w:r>
    </w:p>
  </w:endnote>
  <w:endnote w:type="continuationSeparator" w:id="0">
    <w:p w:rsidR="00777D1B" w:rsidRPr="003E3328" w:rsidRDefault="00777D1B">
      <w:pPr>
        <w:rPr>
          <w:sz w:val="21"/>
          <w:szCs w:val="21"/>
        </w:rPr>
      </w:pPr>
      <w:r w:rsidRPr="003E332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6D" w:rsidRPr="00DD7C08" w:rsidRDefault="00F370E2" w:rsidP="00DD7C08">
    <w:pPr>
      <w:pStyle w:val="Footer"/>
      <w:rPr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 xml:space="preserve">Revision – </w:t>
    </w:r>
    <w:r w:rsidR="002147EE">
      <w:rPr>
        <w:rStyle w:val="PageNumber"/>
        <w:rFonts w:ascii="Tahoma" w:hAnsi="Tahoma" w:cs="Tahoma"/>
        <w:sz w:val="20"/>
      </w:rPr>
      <w:t>12</w:t>
    </w:r>
    <w:r w:rsidR="00266213">
      <w:rPr>
        <w:rStyle w:val="PageNumber"/>
        <w:rFonts w:ascii="Tahoma" w:hAnsi="Tahoma" w:cs="Tahoma"/>
        <w:sz w:val="20"/>
      </w:rPr>
      <w:t>/</w:t>
    </w:r>
    <w:r w:rsidR="002147EE">
      <w:rPr>
        <w:rStyle w:val="PageNumber"/>
        <w:rFonts w:ascii="Tahoma" w:hAnsi="Tahoma" w:cs="Tahoma"/>
        <w:sz w:val="20"/>
      </w:rPr>
      <w:t>27</w:t>
    </w:r>
    <w:r w:rsidR="00B242F1">
      <w:rPr>
        <w:rStyle w:val="PageNumber"/>
        <w:rFonts w:ascii="Tahoma" w:hAnsi="Tahoma" w:cs="Tahoma"/>
        <w:sz w:val="20"/>
      </w:rPr>
      <w:t>/2017</w:t>
    </w:r>
    <w:r w:rsidR="00140E16">
      <w:rPr>
        <w:rStyle w:val="PageNumber"/>
        <w:rFonts w:ascii="Tahoma" w:hAnsi="Tahoma" w:cs="Tahoma"/>
        <w:sz w:val="20"/>
      </w:rPr>
      <w:tab/>
    </w:r>
    <w:r w:rsidR="00140E16">
      <w:rPr>
        <w:rStyle w:val="PageNumber"/>
        <w:rFonts w:ascii="Tahoma" w:hAnsi="Tahoma" w:cs="Tahoma"/>
        <w:sz w:val="20"/>
      </w:rPr>
      <w:tab/>
    </w:r>
    <w:r w:rsidR="00343171">
      <w:rPr>
        <w:rStyle w:val="PageNumber"/>
        <w:rFonts w:ascii="Tahoma" w:hAnsi="Tahoma" w:cs="Tahoma"/>
        <w:sz w:val="20"/>
      </w:rPr>
      <w:t xml:space="preserve"> </w:t>
    </w:r>
    <w:r w:rsidR="00DD7C08" w:rsidRPr="00461320">
      <w:rPr>
        <w:rStyle w:val="PageNumber"/>
        <w:rFonts w:ascii="Tahoma" w:hAnsi="Tahoma" w:cs="Tahoma"/>
        <w:sz w:val="20"/>
      </w:rPr>
      <w:t>G00075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1B" w:rsidRPr="003E3328" w:rsidRDefault="00777D1B">
      <w:pPr>
        <w:rPr>
          <w:sz w:val="21"/>
          <w:szCs w:val="21"/>
        </w:rPr>
      </w:pPr>
      <w:r w:rsidRPr="003E3328">
        <w:rPr>
          <w:sz w:val="21"/>
          <w:szCs w:val="21"/>
        </w:rPr>
        <w:separator/>
      </w:r>
    </w:p>
  </w:footnote>
  <w:footnote w:type="continuationSeparator" w:id="0">
    <w:p w:rsidR="00777D1B" w:rsidRPr="003E3328" w:rsidRDefault="00777D1B">
      <w:pPr>
        <w:rPr>
          <w:sz w:val="21"/>
          <w:szCs w:val="21"/>
        </w:rPr>
      </w:pPr>
      <w:r w:rsidRPr="003E3328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6D" w:rsidRPr="00DD7C08" w:rsidRDefault="00FE0BE8" w:rsidP="00F05886">
    <w:pPr>
      <w:pStyle w:val="Header"/>
      <w:jc w:val="center"/>
      <w:rPr>
        <w:rFonts w:ascii="Verdana" w:hAnsi="Verdan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-66675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1" name="Picture 1" descr="wbcube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cube-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4A9A">
      <w:rPr>
        <w:rFonts w:ascii="Verdana" w:hAnsi="Verdana"/>
        <w:b/>
        <w:sz w:val="28"/>
        <w:szCs w:val="28"/>
      </w:rPr>
      <w:t>Cigna</w:t>
    </w:r>
    <w:r w:rsidR="00DD7C08" w:rsidRPr="00461320">
      <w:rPr>
        <w:rFonts w:ascii="Verdana" w:hAnsi="Verdana"/>
        <w:b/>
        <w:sz w:val="28"/>
        <w:szCs w:val="28"/>
      </w:rPr>
      <w:t xml:space="preserve"> International Option RMIP Plan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1E83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10B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E419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2214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A06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E27D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0D2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26D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2C0A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F080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797E1710"/>
    <w:multiLevelType w:val="singleLevel"/>
    <w:tmpl w:val="B030C604"/>
    <w:lvl w:ilvl="0">
      <w:start w:val="1"/>
      <w:numFmt w:val="bullet"/>
      <w:pStyle w:val="outlin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1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1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1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46"/>
    <w:rsid w:val="000160E4"/>
    <w:rsid w:val="000167BB"/>
    <w:rsid w:val="00073A3B"/>
    <w:rsid w:val="00076091"/>
    <w:rsid w:val="0008381F"/>
    <w:rsid w:val="000D4327"/>
    <w:rsid w:val="000F0091"/>
    <w:rsid w:val="00140E16"/>
    <w:rsid w:val="0014245B"/>
    <w:rsid w:val="00163F72"/>
    <w:rsid w:val="001C3048"/>
    <w:rsid w:val="001F1270"/>
    <w:rsid w:val="002147EE"/>
    <w:rsid w:val="00224C36"/>
    <w:rsid w:val="00230387"/>
    <w:rsid w:val="002356DD"/>
    <w:rsid w:val="00245185"/>
    <w:rsid w:val="00250DF7"/>
    <w:rsid w:val="00251B13"/>
    <w:rsid w:val="002610C7"/>
    <w:rsid w:val="00266213"/>
    <w:rsid w:val="00285426"/>
    <w:rsid w:val="002A5C1D"/>
    <w:rsid w:val="002A76C4"/>
    <w:rsid w:val="002C522D"/>
    <w:rsid w:val="002D0794"/>
    <w:rsid w:val="002D3162"/>
    <w:rsid w:val="002E11FA"/>
    <w:rsid w:val="002E54E3"/>
    <w:rsid w:val="003063CA"/>
    <w:rsid w:val="00343171"/>
    <w:rsid w:val="00362DB1"/>
    <w:rsid w:val="00365ECB"/>
    <w:rsid w:val="00394C75"/>
    <w:rsid w:val="003C2DC9"/>
    <w:rsid w:val="003D01C6"/>
    <w:rsid w:val="003E2598"/>
    <w:rsid w:val="003E3328"/>
    <w:rsid w:val="00402502"/>
    <w:rsid w:val="004033EA"/>
    <w:rsid w:val="00411894"/>
    <w:rsid w:val="00414339"/>
    <w:rsid w:val="00442D8D"/>
    <w:rsid w:val="0045166D"/>
    <w:rsid w:val="00472AD0"/>
    <w:rsid w:val="0047485F"/>
    <w:rsid w:val="004B3D50"/>
    <w:rsid w:val="004B5B13"/>
    <w:rsid w:val="004E073F"/>
    <w:rsid w:val="004E0816"/>
    <w:rsid w:val="004E2E78"/>
    <w:rsid w:val="00527026"/>
    <w:rsid w:val="005454B1"/>
    <w:rsid w:val="0056263D"/>
    <w:rsid w:val="00587668"/>
    <w:rsid w:val="005975F2"/>
    <w:rsid w:val="005B63F5"/>
    <w:rsid w:val="005D360E"/>
    <w:rsid w:val="005D6FE9"/>
    <w:rsid w:val="00603D12"/>
    <w:rsid w:val="00615455"/>
    <w:rsid w:val="00615962"/>
    <w:rsid w:val="00622EF8"/>
    <w:rsid w:val="00627C33"/>
    <w:rsid w:val="006342EA"/>
    <w:rsid w:val="00643768"/>
    <w:rsid w:val="00645790"/>
    <w:rsid w:val="00672DC3"/>
    <w:rsid w:val="00685FA3"/>
    <w:rsid w:val="00687C0F"/>
    <w:rsid w:val="006C43DD"/>
    <w:rsid w:val="006D7F6E"/>
    <w:rsid w:val="006E36A1"/>
    <w:rsid w:val="006E3E35"/>
    <w:rsid w:val="00711EBC"/>
    <w:rsid w:val="007142FA"/>
    <w:rsid w:val="007149CE"/>
    <w:rsid w:val="00742907"/>
    <w:rsid w:val="00777D1B"/>
    <w:rsid w:val="007A2A15"/>
    <w:rsid w:val="007B2163"/>
    <w:rsid w:val="007C76A6"/>
    <w:rsid w:val="007D2382"/>
    <w:rsid w:val="007E77AA"/>
    <w:rsid w:val="007F3F11"/>
    <w:rsid w:val="007F5EEB"/>
    <w:rsid w:val="00802E9D"/>
    <w:rsid w:val="008743FA"/>
    <w:rsid w:val="008771C3"/>
    <w:rsid w:val="008B03A8"/>
    <w:rsid w:val="008D3C9D"/>
    <w:rsid w:val="008D68A6"/>
    <w:rsid w:val="00900DA7"/>
    <w:rsid w:val="00946962"/>
    <w:rsid w:val="00991B7C"/>
    <w:rsid w:val="00995E33"/>
    <w:rsid w:val="009B6146"/>
    <w:rsid w:val="009C41E2"/>
    <w:rsid w:val="009E7F59"/>
    <w:rsid w:val="00A014EB"/>
    <w:rsid w:val="00A0593B"/>
    <w:rsid w:val="00A33C38"/>
    <w:rsid w:val="00A4650C"/>
    <w:rsid w:val="00A53735"/>
    <w:rsid w:val="00A612F2"/>
    <w:rsid w:val="00A8058F"/>
    <w:rsid w:val="00A84397"/>
    <w:rsid w:val="00A93FAB"/>
    <w:rsid w:val="00A97BE4"/>
    <w:rsid w:val="00AA3519"/>
    <w:rsid w:val="00AA6CC6"/>
    <w:rsid w:val="00AB10E6"/>
    <w:rsid w:val="00AB7F6D"/>
    <w:rsid w:val="00AC0A18"/>
    <w:rsid w:val="00AF4FF1"/>
    <w:rsid w:val="00B02964"/>
    <w:rsid w:val="00B1019D"/>
    <w:rsid w:val="00B24276"/>
    <w:rsid w:val="00B242F1"/>
    <w:rsid w:val="00B25969"/>
    <w:rsid w:val="00B34FCF"/>
    <w:rsid w:val="00B43522"/>
    <w:rsid w:val="00B519AA"/>
    <w:rsid w:val="00B56551"/>
    <w:rsid w:val="00B63396"/>
    <w:rsid w:val="00B66241"/>
    <w:rsid w:val="00B72D79"/>
    <w:rsid w:val="00BD3F63"/>
    <w:rsid w:val="00BD4A18"/>
    <w:rsid w:val="00BE05FA"/>
    <w:rsid w:val="00BE47B9"/>
    <w:rsid w:val="00BF2787"/>
    <w:rsid w:val="00BF56B9"/>
    <w:rsid w:val="00C04288"/>
    <w:rsid w:val="00C17CBE"/>
    <w:rsid w:val="00C24A9A"/>
    <w:rsid w:val="00C62D62"/>
    <w:rsid w:val="00C86D3E"/>
    <w:rsid w:val="00CB20D7"/>
    <w:rsid w:val="00CC02A2"/>
    <w:rsid w:val="00CE631D"/>
    <w:rsid w:val="00CF49B6"/>
    <w:rsid w:val="00CF4BC9"/>
    <w:rsid w:val="00D118A0"/>
    <w:rsid w:val="00D15AD5"/>
    <w:rsid w:val="00D37A50"/>
    <w:rsid w:val="00D41D75"/>
    <w:rsid w:val="00D54F87"/>
    <w:rsid w:val="00D63061"/>
    <w:rsid w:val="00D900F7"/>
    <w:rsid w:val="00DA5915"/>
    <w:rsid w:val="00DA6747"/>
    <w:rsid w:val="00DD5E46"/>
    <w:rsid w:val="00DD7C08"/>
    <w:rsid w:val="00DE429E"/>
    <w:rsid w:val="00E17CA4"/>
    <w:rsid w:val="00E462E4"/>
    <w:rsid w:val="00E82D13"/>
    <w:rsid w:val="00EA73B9"/>
    <w:rsid w:val="00EC13A6"/>
    <w:rsid w:val="00EF228F"/>
    <w:rsid w:val="00EF69D6"/>
    <w:rsid w:val="00F05886"/>
    <w:rsid w:val="00F370E2"/>
    <w:rsid w:val="00F514AD"/>
    <w:rsid w:val="00F74D70"/>
    <w:rsid w:val="00F86672"/>
    <w:rsid w:val="00F9242B"/>
    <w:rsid w:val="00F92F62"/>
    <w:rsid w:val="00FE0BE8"/>
    <w:rsid w:val="00FE0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A67237"/>
  <w15:docId w15:val="{3821E3BD-DCF2-4E61-9835-B30F512C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E0E7E"/>
    <w:rPr>
      <w:sz w:val="24"/>
    </w:rPr>
  </w:style>
  <w:style w:type="paragraph" w:styleId="Heading1">
    <w:name w:val="heading 1"/>
    <w:basedOn w:val="Normal"/>
    <w:next w:val="Normal"/>
    <w:qFormat/>
    <w:rsid w:val="00FE0E7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E0E7E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FE0E7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FE0E7E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E0E7E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E0E7E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E0E7E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E0E7E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E0E7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rsid w:val="00FE0E7E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FE0E7E"/>
    <w:pPr>
      <w:keepNext/>
      <w:numPr>
        <w:numId w:val="23"/>
      </w:numPr>
      <w:tabs>
        <w:tab w:val="clear" w:pos="432"/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FE0E7E"/>
    <w:pPr>
      <w:numPr>
        <w:ilvl w:val="1"/>
        <w:numId w:val="24"/>
      </w:numPr>
      <w:tabs>
        <w:tab w:val="clear" w:pos="1152"/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FE0E7E"/>
    <w:pPr>
      <w:numPr>
        <w:ilvl w:val="2"/>
        <w:numId w:val="25"/>
      </w:numPr>
      <w:tabs>
        <w:tab w:val="clear" w:pos="1728"/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FE0E7E"/>
    <w:pPr>
      <w:numPr>
        <w:ilvl w:val="3"/>
        <w:numId w:val="26"/>
      </w:numPr>
      <w:tabs>
        <w:tab w:val="clear" w:pos="2304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FE0E7E"/>
    <w:pPr>
      <w:numPr>
        <w:numId w:val="28"/>
      </w:numPr>
      <w:tabs>
        <w:tab w:val="clear" w:pos="360"/>
        <w:tab w:val="left" w:pos="1440"/>
      </w:tabs>
      <w:spacing w:before="120"/>
      <w:ind w:left="1440" w:hanging="450"/>
    </w:pPr>
  </w:style>
  <w:style w:type="paragraph" w:styleId="BlockText">
    <w:name w:val="Block Text"/>
    <w:basedOn w:val="Normal"/>
    <w:rsid w:val="00FE0E7E"/>
    <w:pPr>
      <w:spacing w:after="120"/>
      <w:ind w:left="1440" w:right="1440"/>
    </w:pPr>
  </w:style>
  <w:style w:type="paragraph" w:styleId="BodyText">
    <w:name w:val="Body Text"/>
    <w:basedOn w:val="Normal"/>
    <w:rsid w:val="00FE0E7E"/>
    <w:pPr>
      <w:spacing w:after="120"/>
    </w:pPr>
  </w:style>
  <w:style w:type="paragraph" w:styleId="BodyText2">
    <w:name w:val="Body Text 2"/>
    <w:basedOn w:val="Normal"/>
    <w:rsid w:val="00FE0E7E"/>
    <w:pPr>
      <w:spacing w:after="120" w:line="480" w:lineRule="auto"/>
    </w:pPr>
  </w:style>
  <w:style w:type="paragraph" w:styleId="BodyText3">
    <w:name w:val="Body Text 3"/>
    <w:basedOn w:val="Normal"/>
    <w:rsid w:val="00FE0E7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FE0E7E"/>
    <w:pPr>
      <w:ind w:firstLine="210"/>
    </w:pPr>
  </w:style>
  <w:style w:type="paragraph" w:styleId="BodyTextIndent">
    <w:name w:val="Body Text Indent"/>
    <w:basedOn w:val="Normal"/>
    <w:rsid w:val="00FE0E7E"/>
    <w:pPr>
      <w:spacing w:after="120"/>
      <w:ind w:left="360"/>
    </w:pPr>
  </w:style>
  <w:style w:type="paragraph" w:styleId="BodyTextFirstIndent2">
    <w:name w:val="Body Text First Indent 2"/>
    <w:basedOn w:val="BodyTextIndent"/>
    <w:rsid w:val="00FE0E7E"/>
    <w:pPr>
      <w:ind w:firstLine="210"/>
    </w:pPr>
  </w:style>
  <w:style w:type="paragraph" w:styleId="BodyTextIndent2">
    <w:name w:val="Body Text Indent 2"/>
    <w:basedOn w:val="Normal"/>
    <w:rsid w:val="00FE0E7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E0E7E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FE0E7E"/>
    <w:pPr>
      <w:spacing w:before="120" w:after="120"/>
    </w:pPr>
    <w:rPr>
      <w:b/>
    </w:rPr>
  </w:style>
  <w:style w:type="paragraph" w:styleId="Closing">
    <w:name w:val="Closing"/>
    <w:basedOn w:val="Normal"/>
    <w:rsid w:val="00FE0E7E"/>
    <w:pPr>
      <w:ind w:left="4320"/>
    </w:pPr>
  </w:style>
  <w:style w:type="paragraph" w:styleId="CommentText">
    <w:name w:val="annotation text"/>
    <w:basedOn w:val="Normal"/>
    <w:semiHidden/>
    <w:rsid w:val="00FE0E7E"/>
    <w:rPr>
      <w:sz w:val="20"/>
    </w:rPr>
  </w:style>
  <w:style w:type="paragraph" w:styleId="Date">
    <w:name w:val="Date"/>
    <w:basedOn w:val="Normal"/>
    <w:next w:val="Normal"/>
    <w:rsid w:val="00FE0E7E"/>
  </w:style>
  <w:style w:type="paragraph" w:styleId="DocumentMap">
    <w:name w:val="Document Map"/>
    <w:basedOn w:val="Normal"/>
    <w:semiHidden/>
    <w:rsid w:val="00FE0E7E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FE0E7E"/>
    <w:rPr>
      <w:sz w:val="20"/>
    </w:rPr>
  </w:style>
  <w:style w:type="paragraph" w:styleId="EnvelopeAddress">
    <w:name w:val="envelope address"/>
    <w:basedOn w:val="Normal"/>
    <w:rsid w:val="00FE0E7E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FE0E7E"/>
    <w:rPr>
      <w:rFonts w:ascii="Arial" w:hAnsi="Arial"/>
      <w:sz w:val="20"/>
    </w:rPr>
  </w:style>
  <w:style w:type="paragraph" w:styleId="Footer">
    <w:name w:val="footer"/>
    <w:basedOn w:val="Normal"/>
    <w:rsid w:val="00FE0E7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E0E7E"/>
    <w:rPr>
      <w:sz w:val="20"/>
    </w:rPr>
  </w:style>
  <w:style w:type="paragraph" w:styleId="Header">
    <w:name w:val="header"/>
    <w:basedOn w:val="Normal"/>
    <w:rsid w:val="00FE0E7E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FE0E7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E0E7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E0E7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E0E7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E0E7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E0E7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E0E7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E0E7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E0E7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E0E7E"/>
    <w:rPr>
      <w:rFonts w:ascii="Arial" w:hAnsi="Arial"/>
      <w:b/>
    </w:rPr>
  </w:style>
  <w:style w:type="paragraph" w:styleId="List">
    <w:name w:val="List"/>
    <w:basedOn w:val="Normal"/>
    <w:rsid w:val="00FE0E7E"/>
    <w:pPr>
      <w:ind w:left="360" w:hanging="360"/>
    </w:pPr>
  </w:style>
  <w:style w:type="paragraph" w:styleId="List2">
    <w:name w:val="List 2"/>
    <w:basedOn w:val="Normal"/>
    <w:rsid w:val="00FE0E7E"/>
    <w:pPr>
      <w:ind w:left="720" w:hanging="360"/>
    </w:pPr>
  </w:style>
  <w:style w:type="paragraph" w:styleId="List3">
    <w:name w:val="List 3"/>
    <w:basedOn w:val="Normal"/>
    <w:rsid w:val="00FE0E7E"/>
    <w:pPr>
      <w:ind w:left="1080" w:hanging="360"/>
    </w:pPr>
  </w:style>
  <w:style w:type="paragraph" w:styleId="List4">
    <w:name w:val="List 4"/>
    <w:basedOn w:val="Normal"/>
    <w:rsid w:val="00FE0E7E"/>
    <w:pPr>
      <w:ind w:left="1440" w:hanging="360"/>
    </w:pPr>
  </w:style>
  <w:style w:type="paragraph" w:styleId="List5">
    <w:name w:val="List 5"/>
    <w:basedOn w:val="Normal"/>
    <w:rsid w:val="00FE0E7E"/>
    <w:pPr>
      <w:ind w:left="1800" w:hanging="360"/>
    </w:pPr>
  </w:style>
  <w:style w:type="paragraph" w:styleId="ListBullet">
    <w:name w:val="List Bullet"/>
    <w:basedOn w:val="Normal"/>
    <w:autoRedefine/>
    <w:rsid w:val="00FE0E7E"/>
    <w:pPr>
      <w:numPr>
        <w:numId w:val="29"/>
      </w:numPr>
    </w:pPr>
  </w:style>
  <w:style w:type="paragraph" w:styleId="ListBullet2">
    <w:name w:val="List Bullet 2"/>
    <w:basedOn w:val="Normal"/>
    <w:autoRedefine/>
    <w:rsid w:val="00FE0E7E"/>
    <w:pPr>
      <w:numPr>
        <w:numId w:val="30"/>
      </w:numPr>
    </w:pPr>
  </w:style>
  <w:style w:type="paragraph" w:styleId="ListBullet3">
    <w:name w:val="List Bullet 3"/>
    <w:basedOn w:val="Normal"/>
    <w:autoRedefine/>
    <w:rsid w:val="00FE0E7E"/>
    <w:pPr>
      <w:numPr>
        <w:numId w:val="31"/>
      </w:numPr>
    </w:pPr>
  </w:style>
  <w:style w:type="paragraph" w:styleId="ListBullet4">
    <w:name w:val="List Bullet 4"/>
    <w:basedOn w:val="Normal"/>
    <w:autoRedefine/>
    <w:rsid w:val="00FE0E7E"/>
    <w:pPr>
      <w:numPr>
        <w:numId w:val="32"/>
      </w:numPr>
    </w:pPr>
  </w:style>
  <w:style w:type="paragraph" w:styleId="ListBullet5">
    <w:name w:val="List Bullet 5"/>
    <w:basedOn w:val="Normal"/>
    <w:autoRedefine/>
    <w:rsid w:val="00FE0E7E"/>
    <w:pPr>
      <w:numPr>
        <w:numId w:val="33"/>
      </w:numPr>
    </w:pPr>
  </w:style>
  <w:style w:type="paragraph" w:styleId="ListContinue">
    <w:name w:val="List Continue"/>
    <w:basedOn w:val="Normal"/>
    <w:rsid w:val="00FE0E7E"/>
    <w:pPr>
      <w:spacing w:after="120"/>
      <w:ind w:left="360"/>
    </w:pPr>
  </w:style>
  <w:style w:type="paragraph" w:styleId="ListContinue2">
    <w:name w:val="List Continue 2"/>
    <w:basedOn w:val="Normal"/>
    <w:rsid w:val="00FE0E7E"/>
    <w:pPr>
      <w:spacing w:after="120"/>
      <w:ind w:left="720"/>
    </w:pPr>
  </w:style>
  <w:style w:type="paragraph" w:styleId="ListContinue3">
    <w:name w:val="List Continue 3"/>
    <w:basedOn w:val="Normal"/>
    <w:rsid w:val="00FE0E7E"/>
    <w:pPr>
      <w:spacing w:after="120"/>
      <w:ind w:left="1080"/>
    </w:pPr>
  </w:style>
  <w:style w:type="paragraph" w:styleId="ListContinue4">
    <w:name w:val="List Continue 4"/>
    <w:basedOn w:val="Normal"/>
    <w:rsid w:val="00FE0E7E"/>
    <w:pPr>
      <w:spacing w:after="120"/>
      <w:ind w:left="1440"/>
    </w:pPr>
  </w:style>
  <w:style w:type="paragraph" w:styleId="ListContinue5">
    <w:name w:val="List Continue 5"/>
    <w:basedOn w:val="Normal"/>
    <w:rsid w:val="00FE0E7E"/>
    <w:pPr>
      <w:spacing w:after="120"/>
      <w:ind w:left="1800"/>
    </w:pPr>
  </w:style>
  <w:style w:type="paragraph" w:styleId="ListNumber">
    <w:name w:val="List Number"/>
    <w:basedOn w:val="Normal"/>
    <w:rsid w:val="00FE0E7E"/>
    <w:pPr>
      <w:numPr>
        <w:numId w:val="34"/>
      </w:numPr>
    </w:pPr>
  </w:style>
  <w:style w:type="paragraph" w:styleId="ListNumber2">
    <w:name w:val="List Number 2"/>
    <w:basedOn w:val="Normal"/>
    <w:rsid w:val="00FE0E7E"/>
    <w:pPr>
      <w:numPr>
        <w:numId w:val="35"/>
      </w:numPr>
    </w:pPr>
  </w:style>
  <w:style w:type="paragraph" w:styleId="ListNumber3">
    <w:name w:val="List Number 3"/>
    <w:basedOn w:val="Normal"/>
    <w:rsid w:val="00FE0E7E"/>
    <w:pPr>
      <w:numPr>
        <w:numId w:val="36"/>
      </w:numPr>
    </w:pPr>
  </w:style>
  <w:style w:type="paragraph" w:styleId="ListNumber4">
    <w:name w:val="List Number 4"/>
    <w:basedOn w:val="Normal"/>
    <w:rsid w:val="00FE0E7E"/>
    <w:pPr>
      <w:numPr>
        <w:numId w:val="37"/>
      </w:numPr>
    </w:pPr>
  </w:style>
  <w:style w:type="paragraph" w:styleId="ListNumber5">
    <w:name w:val="List Number 5"/>
    <w:basedOn w:val="Normal"/>
    <w:rsid w:val="00FE0E7E"/>
    <w:pPr>
      <w:numPr>
        <w:numId w:val="38"/>
      </w:numPr>
    </w:pPr>
  </w:style>
  <w:style w:type="paragraph" w:styleId="MacroText">
    <w:name w:val="macro"/>
    <w:semiHidden/>
    <w:rsid w:val="00FE0E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FE0E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FE0E7E"/>
    <w:pPr>
      <w:ind w:left="576"/>
    </w:pPr>
  </w:style>
  <w:style w:type="paragraph" w:styleId="NoteHeading">
    <w:name w:val="Note Heading"/>
    <w:basedOn w:val="Normal"/>
    <w:next w:val="Normal"/>
    <w:rsid w:val="00FE0E7E"/>
  </w:style>
  <w:style w:type="paragraph" w:styleId="PlainText">
    <w:name w:val="Plain Text"/>
    <w:basedOn w:val="Normal"/>
    <w:rsid w:val="00FE0E7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FE0E7E"/>
  </w:style>
  <w:style w:type="paragraph" w:styleId="Signature">
    <w:name w:val="Signature"/>
    <w:basedOn w:val="Normal"/>
    <w:rsid w:val="00FE0E7E"/>
    <w:pPr>
      <w:ind w:left="4320"/>
    </w:pPr>
  </w:style>
  <w:style w:type="paragraph" w:styleId="Subtitle">
    <w:name w:val="Subtitle"/>
    <w:basedOn w:val="Normal"/>
    <w:qFormat/>
    <w:rsid w:val="00FE0E7E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FE0E7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E0E7E"/>
    <w:pPr>
      <w:ind w:left="480" w:hanging="480"/>
    </w:pPr>
  </w:style>
  <w:style w:type="paragraph" w:styleId="Title">
    <w:name w:val="Title"/>
    <w:basedOn w:val="Normal"/>
    <w:qFormat/>
    <w:rsid w:val="00FE0E7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FE0E7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FE0E7E"/>
  </w:style>
  <w:style w:type="paragraph" w:styleId="TOC2">
    <w:name w:val="toc 2"/>
    <w:basedOn w:val="Normal"/>
    <w:next w:val="Normal"/>
    <w:autoRedefine/>
    <w:semiHidden/>
    <w:rsid w:val="00FE0E7E"/>
    <w:pPr>
      <w:ind w:left="240"/>
    </w:pPr>
  </w:style>
  <w:style w:type="paragraph" w:styleId="TOC3">
    <w:name w:val="toc 3"/>
    <w:basedOn w:val="Normal"/>
    <w:next w:val="Normal"/>
    <w:autoRedefine/>
    <w:semiHidden/>
    <w:rsid w:val="00FE0E7E"/>
    <w:pPr>
      <w:ind w:left="480"/>
    </w:pPr>
  </w:style>
  <w:style w:type="paragraph" w:styleId="TOC4">
    <w:name w:val="toc 4"/>
    <w:basedOn w:val="Normal"/>
    <w:next w:val="Normal"/>
    <w:autoRedefine/>
    <w:semiHidden/>
    <w:rsid w:val="00FE0E7E"/>
    <w:pPr>
      <w:ind w:left="720"/>
    </w:pPr>
  </w:style>
  <w:style w:type="paragraph" w:styleId="TOC5">
    <w:name w:val="toc 5"/>
    <w:basedOn w:val="Normal"/>
    <w:next w:val="Normal"/>
    <w:autoRedefine/>
    <w:semiHidden/>
    <w:rsid w:val="00FE0E7E"/>
    <w:pPr>
      <w:ind w:left="960"/>
    </w:pPr>
  </w:style>
  <w:style w:type="paragraph" w:styleId="TOC6">
    <w:name w:val="toc 6"/>
    <w:basedOn w:val="Normal"/>
    <w:next w:val="Normal"/>
    <w:autoRedefine/>
    <w:semiHidden/>
    <w:rsid w:val="00FE0E7E"/>
    <w:pPr>
      <w:ind w:left="1200"/>
    </w:pPr>
  </w:style>
  <w:style w:type="paragraph" w:styleId="TOC7">
    <w:name w:val="toc 7"/>
    <w:basedOn w:val="Normal"/>
    <w:next w:val="Normal"/>
    <w:autoRedefine/>
    <w:semiHidden/>
    <w:rsid w:val="00FE0E7E"/>
    <w:pPr>
      <w:ind w:left="1440"/>
    </w:pPr>
  </w:style>
  <w:style w:type="paragraph" w:styleId="TOC8">
    <w:name w:val="toc 8"/>
    <w:basedOn w:val="Normal"/>
    <w:next w:val="Normal"/>
    <w:autoRedefine/>
    <w:semiHidden/>
    <w:rsid w:val="00FE0E7E"/>
    <w:pPr>
      <w:ind w:left="1680"/>
    </w:pPr>
  </w:style>
  <w:style w:type="paragraph" w:styleId="TOC9">
    <w:name w:val="toc 9"/>
    <w:basedOn w:val="Normal"/>
    <w:next w:val="Normal"/>
    <w:autoRedefine/>
    <w:semiHidden/>
    <w:rsid w:val="00FE0E7E"/>
    <w:pPr>
      <w:ind w:left="1920"/>
    </w:pPr>
  </w:style>
  <w:style w:type="character" w:styleId="PageNumber">
    <w:name w:val="page number"/>
    <w:basedOn w:val="DefaultParagraphFont"/>
    <w:rsid w:val="00FE0E7E"/>
  </w:style>
  <w:style w:type="character" w:styleId="Hyperlink">
    <w:name w:val="Hyperlink"/>
    <w:basedOn w:val="DefaultParagraphFont"/>
    <w:rsid w:val="00FE0E7E"/>
    <w:rPr>
      <w:color w:val="0000FF"/>
      <w:u w:val="single"/>
    </w:rPr>
  </w:style>
  <w:style w:type="character" w:styleId="FollowedHyperlink">
    <w:name w:val="FollowedHyperlink"/>
    <w:basedOn w:val="DefaultParagraphFont"/>
    <w:rsid w:val="00FE0E7E"/>
    <w:rPr>
      <w:color w:val="800080"/>
      <w:u w:val="single"/>
    </w:rPr>
  </w:style>
  <w:style w:type="paragraph" w:styleId="E-mailSignature">
    <w:name w:val="E-mail Signature"/>
    <w:basedOn w:val="Normal"/>
    <w:rsid w:val="00FE0E7E"/>
  </w:style>
  <w:style w:type="paragraph" w:styleId="HTMLAddress">
    <w:name w:val="HTML Address"/>
    <w:basedOn w:val="Normal"/>
    <w:rsid w:val="00FE0E7E"/>
    <w:rPr>
      <w:i/>
      <w:iCs/>
    </w:rPr>
  </w:style>
  <w:style w:type="paragraph" w:styleId="HTMLPreformatted">
    <w:name w:val="HTML Preformatted"/>
    <w:basedOn w:val="Normal"/>
    <w:rsid w:val="00FE0E7E"/>
    <w:rPr>
      <w:rFonts w:ascii="Courier New" w:hAnsi="Courier New" w:cs="Courier New"/>
      <w:sz w:val="20"/>
    </w:rPr>
  </w:style>
  <w:style w:type="paragraph" w:styleId="NormalWeb">
    <w:name w:val="Normal (Web)"/>
    <w:basedOn w:val="Normal"/>
    <w:rsid w:val="00FE0E7E"/>
    <w:rPr>
      <w:szCs w:val="24"/>
    </w:rPr>
  </w:style>
  <w:style w:type="paragraph" w:styleId="BalloonText">
    <w:name w:val="Balloon Text"/>
    <w:basedOn w:val="Normal"/>
    <w:semiHidden/>
    <w:rsid w:val="006D7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worldbank.org/WBSITE/INTRANET/UNITS/HR/0,,contentMDK:20377365~currentSitePK:328635~pagePK:64207891~piPK:64207885~theSitePK:328635,00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ranet.worldbank.org/WBSITE/INTRANET/UNITS/HR/0,,contentMDK:20342793~currentSitePK:328635~pagePK:64207891~piPK:64207885~theSitePK:328635,0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ranet.worldbank.org/WBSITE/INTRANET/UNITS/HR/0,,contentMDK:20605646~currentSitePK:328635~pagePK:64207891~piPK:64207885~theSitePK:328635,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ranet.worldbank.org/WBSITE/INTRANET/UNITS/HR/0,,contentMDK:20386767~currentSitePK:328635~pagePK:64207891~piPK:64207885~theSitePK:328635,00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356C-7352-43D6-9D92-EE16A754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</vt:lpstr>
    </vt:vector>
  </TitlesOfParts>
  <Company>The World Bank Group</Company>
  <LinksUpToDate>false</LinksUpToDate>
  <CharactersWithSpaces>8410</CharactersWithSpaces>
  <SharedDoc>false</SharedDoc>
  <HLinks>
    <vt:vector size="24" baseType="variant">
      <vt:variant>
        <vt:i4>4522048</vt:i4>
      </vt:variant>
      <vt:variant>
        <vt:i4>9</vt:i4>
      </vt:variant>
      <vt:variant>
        <vt:i4>0</vt:i4>
      </vt:variant>
      <vt:variant>
        <vt:i4>5</vt:i4>
      </vt:variant>
      <vt:variant>
        <vt:lpwstr>http://intranet.worldbank.org/WBSITE/INTRANET/UNITS/HR/0,,contentMDK:20342793~currentSitePK:328635~pagePK:64207891~piPK:64207885~theSitePK:328635,00.html</vt:lpwstr>
      </vt:variant>
      <vt:variant>
        <vt:lpwstr/>
      </vt:variant>
      <vt:variant>
        <vt:i4>4849728</vt:i4>
      </vt:variant>
      <vt:variant>
        <vt:i4>6</vt:i4>
      </vt:variant>
      <vt:variant>
        <vt:i4>0</vt:i4>
      </vt:variant>
      <vt:variant>
        <vt:i4>5</vt:i4>
      </vt:variant>
      <vt:variant>
        <vt:lpwstr>http://intranet.worldbank.org/WBSITE/INTRANET/UNITS/HR/0,,contentMDK:20605646~currentSitePK:328635~pagePK:64207891~piPK:64207885~theSitePK:328635,00.html</vt:lpwstr>
      </vt:variant>
      <vt:variant>
        <vt:lpwstr/>
      </vt:variant>
      <vt:variant>
        <vt:i4>5111880</vt:i4>
      </vt:variant>
      <vt:variant>
        <vt:i4>3</vt:i4>
      </vt:variant>
      <vt:variant>
        <vt:i4>0</vt:i4>
      </vt:variant>
      <vt:variant>
        <vt:i4>5</vt:i4>
      </vt:variant>
      <vt:variant>
        <vt:lpwstr>http://intranet.worldbank.org/WBSITE/INTRANET/UNITS/HR/0,,contentMDK:20386767~currentSitePK:328635~pagePK:64207891~piPK:64207885~theSitePK:328635,00.html</vt:lpwstr>
      </vt:variant>
      <vt:variant>
        <vt:lpwstr/>
      </vt:variant>
      <vt:variant>
        <vt:i4>5177409</vt:i4>
      </vt:variant>
      <vt:variant>
        <vt:i4>0</vt:i4>
      </vt:variant>
      <vt:variant>
        <vt:i4>0</vt:i4>
      </vt:variant>
      <vt:variant>
        <vt:i4>5</vt:i4>
      </vt:variant>
      <vt:variant>
        <vt:lpwstr>http://intranet.worldbank.org/WBSITE/INTRANET/UNITS/HR/0,,contentMDK:20377365~currentSitePK:328635~pagePK:64207891~piPK:64207885~theSitePK:328635,00.html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</dc:title>
  <dc:creator>World Bank User</dc:creator>
  <cp:lastModifiedBy>Sidhdhaarth Umagandhi</cp:lastModifiedBy>
  <cp:revision>2</cp:revision>
  <cp:lastPrinted>2010-12-08T21:43:00Z</cp:lastPrinted>
  <dcterms:created xsi:type="dcterms:W3CDTF">2017-12-29T11:16:00Z</dcterms:created>
  <dcterms:modified xsi:type="dcterms:W3CDTF">2017-12-29T11:16:00Z</dcterms:modified>
</cp:coreProperties>
</file>