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0CDC" w14:textId="77777777" w:rsidR="0079296B" w:rsidRDefault="0079296B">
      <w:pPr>
        <w:tabs>
          <w:tab w:val="left" w:pos="4500"/>
          <w:tab w:val="left" w:pos="7200"/>
        </w:tabs>
        <w:spacing w:before="0" w:beforeAutospacing="0" w:after="0" w:afterAutospacing="0"/>
        <w:ind w:left="-1080" w:right="-1080"/>
        <w:rPr>
          <w:rFonts w:ascii="Arial" w:hAnsi="Arial"/>
          <w:sz w:val="16"/>
        </w:rPr>
      </w:pPr>
      <w:bookmarkStart w:id="0" w:name="_GoBack"/>
      <w:bookmarkEnd w:id="0"/>
      <w:r>
        <w:rPr>
          <w:rFonts w:ascii="Arial" w:hAnsi="Arial"/>
          <w:b/>
          <w:sz w:val="22"/>
        </w:rPr>
        <w:t>The World Bank</w:t>
      </w:r>
      <w:r>
        <w:rPr>
          <w:rFonts w:ascii="Arial" w:hAnsi="Arial"/>
          <w:b/>
          <w:sz w:val="22"/>
        </w:rPr>
        <w:tab/>
      </w:r>
      <w:bookmarkStart w:id="1" w:name="SenderPhone"/>
      <w:r>
        <w:rPr>
          <w:rFonts w:ascii="Arial" w:hAnsi="Arial"/>
          <w:sz w:val="16"/>
        </w:rPr>
        <w:t xml:space="preserve">HR </w:t>
      </w:r>
      <w:r w:rsidR="004E3743">
        <w:rPr>
          <w:rFonts w:ascii="Arial" w:hAnsi="Arial"/>
          <w:sz w:val="16"/>
        </w:rPr>
        <w:t>Operations</w:t>
      </w:r>
      <w:r>
        <w:rPr>
          <w:rFonts w:ascii="Arial" w:hAnsi="Arial"/>
          <w:sz w:val="16"/>
        </w:rPr>
        <w:t xml:space="preserve">, MSN </w:t>
      </w:r>
      <w:r w:rsidR="004E3743">
        <w:rPr>
          <w:rFonts w:ascii="Arial" w:hAnsi="Arial"/>
          <w:sz w:val="16"/>
        </w:rPr>
        <w:t>G2</w:t>
      </w:r>
      <w:r>
        <w:rPr>
          <w:rFonts w:ascii="Arial" w:hAnsi="Arial"/>
          <w:sz w:val="16"/>
        </w:rPr>
        <w:t>-</w:t>
      </w:r>
      <w:r w:rsidR="004E3743">
        <w:rPr>
          <w:rFonts w:ascii="Arial" w:hAnsi="Arial"/>
          <w:sz w:val="16"/>
        </w:rPr>
        <w:t>202</w:t>
      </w:r>
      <w:r>
        <w:rPr>
          <w:rFonts w:ascii="Arial" w:hAnsi="Arial"/>
          <w:sz w:val="16"/>
        </w:rPr>
        <w:tab/>
        <w:t>(202) 473-2222</w:t>
      </w:r>
      <w:bookmarkEnd w:id="1"/>
    </w:p>
    <w:p w14:paraId="5BDF40F1" w14:textId="77777777" w:rsidR="0079296B" w:rsidRDefault="0079296B">
      <w:pPr>
        <w:tabs>
          <w:tab w:val="left" w:pos="4500"/>
          <w:tab w:val="left" w:pos="7200"/>
        </w:tabs>
        <w:spacing w:before="0" w:beforeAutospacing="0" w:after="0" w:afterAutospacing="0"/>
        <w:ind w:left="-1080" w:right="-1080"/>
        <w:rPr>
          <w:rFonts w:ascii="Arial" w:hAnsi="Arial"/>
          <w:sz w:val="14"/>
        </w:rPr>
      </w:pPr>
      <w:r>
        <w:rPr>
          <w:rFonts w:ascii="Arial" w:hAnsi="Arial"/>
          <w:sz w:val="14"/>
        </w:rPr>
        <w:t>INTERNATIONAL BANK FOR RECONSTRUCTION AND DEVELOPMENT</w:t>
      </w:r>
      <w:r>
        <w:rPr>
          <w:rFonts w:ascii="Arial" w:hAnsi="Arial"/>
          <w:sz w:val="14"/>
        </w:rPr>
        <w:tab/>
      </w:r>
      <w:r w:rsidR="00B54FBF" w:rsidRPr="00B54FBF">
        <w:rPr>
          <w:rFonts w:ascii="Arial" w:hAnsi="Arial"/>
          <w:sz w:val="16"/>
        </w:rPr>
        <w:t>P.O. Box 1420</w:t>
      </w:r>
      <w:r>
        <w:rPr>
          <w:rFonts w:ascii="Arial" w:hAnsi="Arial"/>
          <w:sz w:val="16"/>
        </w:rPr>
        <w:tab/>
        <w:t>(202) 522-2150 fax</w:t>
      </w:r>
    </w:p>
    <w:p w14:paraId="1ECB4268" w14:textId="77777777" w:rsidR="0079296B" w:rsidRDefault="0079296B">
      <w:pPr>
        <w:tabs>
          <w:tab w:val="left" w:pos="4500"/>
          <w:tab w:val="left" w:pos="7200"/>
        </w:tabs>
        <w:spacing w:before="0" w:beforeAutospacing="0" w:after="0" w:afterAutospacing="0"/>
        <w:ind w:left="-1080" w:right="-1080"/>
        <w:rPr>
          <w:rFonts w:ascii="Arial" w:hAnsi="Arial"/>
          <w:sz w:val="16"/>
        </w:rPr>
      </w:pPr>
      <w:r>
        <w:rPr>
          <w:rFonts w:ascii="Arial" w:hAnsi="Arial"/>
          <w:sz w:val="14"/>
        </w:rPr>
        <w:t>INTERNATIONAL DEVELOPMENT ASSOCIATION</w:t>
      </w:r>
      <w:r>
        <w:rPr>
          <w:rFonts w:ascii="Arial" w:hAnsi="Arial"/>
          <w:sz w:val="14"/>
        </w:rPr>
        <w:tab/>
      </w:r>
      <w:r w:rsidR="00B54FBF" w:rsidRPr="00B54FBF">
        <w:rPr>
          <w:rFonts w:ascii="Arial" w:hAnsi="Arial"/>
          <w:sz w:val="16"/>
        </w:rPr>
        <w:t>Landover, MD, 20785, USA</w:t>
      </w:r>
      <w:r>
        <w:rPr>
          <w:rFonts w:ascii="Arial" w:hAnsi="Arial"/>
          <w:sz w:val="16"/>
        </w:rPr>
        <w:tab/>
      </w:r>
      <w:r w:rsidR="004E3743">
        <w:rPr>
          <w:rFonts w:ascii="Arial" w:hAnsi="Arial"/>
          <w:sz w:val="16"/>
        </w:rPr>
        <w:t>hroperations</w:t>
      </w:r>
      <w:r>
        <w:rPr>
          <w:rFonts w:ascii="Arial" w:hAnsi="Arial"/>
          <w:sz w:val="16"/>
        </w:rPr>
        <w:t>@worldbank.org</w:t>
      </w:r>
    </w:p>
    <w:p w14:paraId="76BF55FC" w14:textId="77777777" w:rsidR="0079296B" w:rsidRDefault="0079296B"/>
    <w:p w14:paraId="2552AC52" w14:textId="77777777" w:rsidR="0079296B" w:rsidRDefault="0079296B"/>
    <w:p w14:paraId="6FA97E5B" w14:textId="77777777" w:rsidR="0079296B" w:rsidRDefault="0079296B">
      <w:pPr>
        <w:pStyle w:val="Referencestyle"/>
      </w:pPr>
    </w:p>
    <w:p w14:paraId="54616E94" w14:textId="77777777" w:rsidR="0079296B" w:rsidRDefault="0079296B">
      <w:pPr>
        <w:pStyle w:val="Referencestyle"/>
      </w:pPr>
    </w:p>
    <w:p w14:paraId="38DC17FB" w14:textId="77777777" w:rsidR="0079296B" w:rsidRDefault="00F25648">
      <w:pPr>
        <w:pStyle w:val="BodyText2"/>
      </w:pPr>
      <w:r>
        <w:t>G00081</w:t>
      </w:r>
      <w:r w:rsidR="004E3743">
        <w:t xml:space="preserve">: </w:t>
      </w:r>
      <w:r>
        <w:br/>
      </w:r>
      <w:r w:rsidR="0079296B">
        <w:t>MIP International Administrator Option</w:t>
      </w:r>
      <w:r w:rsidR="0079296B">
        <w:br/>
      </w:r>
    </w:p>
    <w:p w14:paraId="6E90C775" w14:textId="77777777" w:rsidR="0079296B" w:rsidRDefault="0079296B">
      <w:pPr>
        <w:pStyle w:val="BodyText2"/>
      </w:pPr>
      <w:r>
        <w:t>Detailed Provisions</w:t>
      </w:r>
    </w:p>
    <w:p w14:paraId="4340B416" w14:textId="77777777" w:rsidR="0079296B" w:rsidRDefault="0079296B">
      <w:pPr>
        <w:tabs>
          <w:tab w:val="right" w:pos="7587"/>
        </w:tabs>
        <w:jc w:val="center"/>
        <w:rPr>
          <w:rFonts w:ascii="Arial" w:hAnsi="Arial"/>
          <w:sz w:val="36"/>
        </w:rPr>
      </w:pPr>
    </w:p>
    <w:p w14:paraId="24498F14" w14:textId="77777777" w:rsidR="0079296B" w:rsidRDefault="0079296B">
      <w:pPr>
        <w:tabs>
          <w:tab w:val="right" w:pos="7587"/>
        </w:tabs>
        <w:jc w:val="center"/>
        <w:rPr>
          <w:rFonts w:ascii="Arial" w:hAnsi="Arial"/>
          <w:sz w:val="36"/>
        </w:rPr>
      </w:pPr>
    </w:p>
    <w:p w14:paraId="3502B900" w14:textId="77777777" w:rsidR="0079296B" w:rsidRDefault="0079296B">
      <w:pPr>
        <w:tabs>
          <w:tab w:val="right" w:pos="7587"/>
        </w:tabs>
        <w:jc w:val="center"/>
        <w:rPr>
          <w:rFonts w:ascii="Arial" w:hAnsi="Arial"/>
          <w:sz w:val="36"/>
        </w:rPr>
      </w:pPr>
    </w:p>
    <w:p w14:paraId="447FFA75" w14:textId="77777777" w:rsidR="0079296B" w:rsidRDefault="0079296B">
      <w:pPr>
        <w:tabs>
          <w:tab w:val="right" w:pos="7587"/>
        </w:tabs>
        <w:jc w:val="center"/>
        <w:rPr>
          <w:rFonts w:ascii="Arial" w:hAnsi="Arial"/>
          <w:sz w:val="36"/>
        </w:rPr>
      </w:pPr>
    </w:p>
    <w:p w14:paraId="7CB842F3" w14:textId="77777777" w:rsidR="0079296B" w:rsidRDefault="0079296B"/>
    <w:p w14:paraId="43ED6C6C" w14:textId="77777777" w:rsidR="0079296B" w:rsidRDefault="003612E4">
      <w:r>
        <w:rPr>
          <w:noProof/>
          <w:sz w:val="20"/>
        </w:rPr>
        <mc:AlternateContent>
          <mc:Choice Requires="wps">
            <w:drawing>
              <wp:anchor distT="0" distB="0" distL="114300" distR="114300" simplePos="0" relativeHeight="251657728" behindDoc="0" locked="0" layoutInCell="1" allowOverlap="1" wp14:anchorId="3FF2FEF0" wp14:editId="682B25DC">
                <wp:simplePos x="0" y="0"/>
                <wp:positionH relativeFrom="column">
                  <wp:posOffset>-323850</wp:posOffset>
                </wp:positionH>
                <wp:positionV relativeFrom="paragraph">
                  <wp:posOffset>320040</wp:posOffset>
                </wp:positionV>
                <wp:extent cx="365760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657600" cy="828040"/>
                        </a:xfrm>
                        <a:prstGeom prst="rect">
                          <a:avLst/>
                        </a:prstGeom>
                        <a:solidFill>
                          <a:srgbClr val="FFFFFF"/>
                        </a:solidFill>
                        <a:ln w="9525">
                          <a:solidFill>
                            <a:srgbClr val="000000"/>
                          </a:solidFill>
                          <a:miter lim="800000"/>
                          <a:headEnd/>
                          <a:tailEnd/>
                        </a:ln>
                      </wps:spPr>
                      <wps:txbx>
                        <w:txbxContent>
                          <w:p w14:paraId="22570E0A" w14:textId="77777777" w:rsidR="004E3743" w:rsidRDefault="004E3743">
                            <w:pPr>
                              <w:spacing w:line="200" w:lineRule="exact"/>
                            </w:pPr>
                            <w:r>
                              <w:rPr>
                                <w:sz w:val="18"/>
                              </w:rPr>
                              <w:t>The information contained in this booklet is provided for informational purposes and is subject to change and adjustment from time to time. The eligibility requirements for the Retiree MIP program are stated in Staff Rule 6.12 and in the plan contract documents, which shall govern, if such terms are inconsistent with the information provided in this booklet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2FEF0" id="_x0000_t202" coordsize="21600,21600" o:spt="202" path="m,l,21600r21600,l21600,xe">
                <v:stroke joinstyle="miter"/>
                <v:path gradientshapeok="t" o:connecttype="rect"/>
              </v:shapetype>
              <v:shape id="Text Box 2" o:spid="_x0000_s1026" type="#_x0000_t202" style="position:absolute;margin-left:-25.5pt;margin-top:25.2pt;width:4in;height:65.2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">
                <v:textbox>
                  <w:txbxContent>
                    <w:p w14:paraId="22570E0A" w14:textId="77777777" w:rsidR="004E3743" w:rsidRDefault="004E3743">
                      <w:pPr>
                        <w:spacing w:line="200" w:lineRule="exact"/>
                      </w:pPr>
                      <w:r>
                        <w:rPr>
                          <w:sz w:val="18"/>
                        </w:rPr>
                        <w:t>The information contained in this booklet is provided for informational purposes and is subject to change and adjustment from time to time. The eligibility requirements for the Retiree MIP program are stated in Staff Rule 6.12 and in the plan contract documents, which shall govern, if such terms are inconsistent with the information provided in this booklet</w:t>
                      </w:r>
                      <w:r>
                        <w:t>.</w:t>
                      </w:r>
                    </w:p>
                  </w:txbxContent>
                </v:textbox>
              </v:shape>
            </w:pict>
          </mc:Fallback>
        </mc:AlternateContent>
      </w:r>
    </w:p>
    <w:p w14:paraId="066546BA" w14:textId="77777777" w:rsidR="0079296B" w:rsidRDefault="0079296B"/>
    <w:p w14:paraId="7656F8BA" w14:textId="77777777" w:rsidR="0079296B" w:rsidRDefault="0079296B"/>
    <w:p w14:paraId="0190E964" w14:textId="77777777" w:rsidR="0079296B" w:rsidRDefault="0079296B"/>
    <w:p w14:paraId="2F565182" w14:textId="77777777" w:rsidR="0079296B" w:rsidRDefault="0079296B"/>
    <w:p w14:paraId="1D81BA34" w14:textId="77777777" w:rsidR="0079296B" w:rsidRDefault="0079296B"/>
    <w:p w14:paraId="14D110EE" w14:textId="77777777" w:rsidR="0079296B" w:rsidRDefault="0079296B" w:rsidP="006773DA">
      <w:pPr>
        <w:rPr>
          <w:rFonts w:ascii="Arial" w:hAnsi="Arial" w:cs="Arial"/>
          <w:sz w:val="36"/>
        </w:rPr>
      </w:pPr>
      <w:r>
        <w:rPr>
          <w:sz w:val="18"/>
        </w:rPr>
        <w:lastRenderedPageBreak/>
        <w:br/>
      </w:r>
      <w:r>
        <w:rPr>
          <w:sz w:val="18"/>
        </w:rPr>
        <w:tab/>
      </w:r>
      <w:r>
        <w:rPr>
          <w:sz w:val="18"/>
        </w:rPr>
        <w:tab/>
      </w:r>
      <w:r w:rsidR="00EE135D">
        <w:rPr>
          <w:sz w:val="18"/>
        </w:rPr>
        <w:tab/>
      </w:r>
      <w:r w:rsidR="00EE135D">
        <w:rPr>
          <w:sz w:val="18"/>
        </w:rPr>
        <w:tab/>
      </w:r>
      <w:r>
        <w:rPr>
          <w:rFonts w:ascii="Arial" w:hAnsi="Arial" w:cs="Arial"/>
          <w:sz w:val="36"/>
        </w:rPr>
        <w:t>Table of Contents</w:t>
      </w:r>
      <w:bookmarkStart w:id="2" w:name="_Toc514121322"/>
      <w:bookmarkStart w:id="3" w:name="_Toc514121611"/>
      <w:bookmarkStart w:id="4" w:name="_Toc514121688"/>
      <w:bookmarkStart w:id="5" w:name="_Toc514122607"/>
      <w:bookmarkStart w:id="6" w:name="_Toc514241147"/>
      <w:bookmarkStart w:id="7" w:name="_Toc514287960"/>
      <w:bookmarkStart w:id="8" w:name="_Toc514312355"/>
      <w:bookmarkStart w:id="9" w:name="_Toc514373593"/>
    </w:p>
    <w:p w14:paraId="338346DA" w14:textId="77777777" w:rsidR="0079296B" w:rsidRDefault="0079296B">
      <w:pPr>
        <w:jc w:val="both"/>
        <w:rPr>
          <w:rFonts w:ascii="Arial" w:hAnsi="Arial" w:cs="Arial"/>
        </w:rPr>
      </w:pPr>
    </w:p>
    <w:p w14:paraId="4E41E6DC" w14:textId="61647867" w:rsidR="003612E4" w:rsidRDefault="0079296B">
      <w:pPr>
        <w:pStyle w:val="TOC1"/>
        <w:tabs>
          <w:tab w:val="left" w:pos="480"/>
          <w:tab w:val="right" w:leader="dot" w:pos="8630"/>
        </w:tabs>
        <w:rPr>
          <w:rFonts w:asciiTheme="minorHAnsi" w:eastAsiaTheme="minorEastAsia" w:hAnsiTheme="minorHAnsi" w:cstheme="minorBidi"/>
          <w:b w:val="0"/>
          <w:bCs w:val="0"/>
          <w:caps w:val="0"/>
          <w:noProof/>
          <w:sz w:val="22"/>
          <w:szCs w:val="22"/>
        </w:rPr>
      </w:pPr>
      <w:r>
        <w:rPr>
          <w:rFonts w:ascii="Arial" w:hAnsi="Arial" w:cs="Arial"/>
        </w:rPr>
        <w:fldChar w:fldCharType="begin"/>
      </w:r>
      <w:r>
        <w:rPr>
          <w:rFonts w:ascii="Arial" w:hAnsi="Arial" w:cs="Arial"/>
        </w:rPr>
        <w:instrText xml:space="preserve"> TOC \o "1-3" \h \z </w:instrText>
      </w:r>
      <w:r>
        <w:rPr>
          <w:rFonts w:ascii="Arial" w:hAnsi="Arial" w:cs="Arial"/>
        </w:rPr>
        <w:fldChar w:fldCharType="separate"/>
      </w:r>
      <w:hyperlink w:anchor="_Toc9618520" w:history="1">
        <w:r w:rsidR="003612E4" w:rsidRPr="00E61DF4">
          <w:rPr>
            <w:rStyle w:val="Hyperlink"/>
            <w:noProof/>
          </w:rPr>
          <w:t>1</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Introduction</w:t>
        </w:r>
        <w:r w:rsidR="003612E4">
          <w:rPr>
            <w:noProof/>
            <w:webHidden/>
          </w:rPr>
          <w:tab/>
        </w:r>
        <w:r w:rsidR="003612E4">
          <w:rPr>
            <w:noProof/>
            <w:webHidden/>
          </w:rPr>
          <w:fldChar w:fldCharType="begin"/>
        </w:r>
        <w:r w:rsidR="003612E4">
          <w:rPr>
            <w:noProof/>
            <w:webHidden/>
          </w:rPr>
          <w:instrText xml:space="preserve"> PAGEREF _Toc9618520 \h </w:instrText>
        </w:r>
        <w:r w:rsidR="003612E4">
          <w:rPr>
            <w:noProof/>
            <w:webHidden/>
          </w:rPr>
        </w:r>
        <w:r w:rsidR="003612E4">
          <w:rPr>
            <w:noProof/>
            <w:webHidden/>
          </w:rPr>
          <w:fldChar w:fldCharType="separate"/>
        </w:r>
        <w:r w:rsidR="00DA6C22">
          <w:rPr>
            <w:noProof/>
            <w:webHidden/>
          </w:rPr>
          <w:t>1</w:t>
        </w:r>
        <w:r w:rsidR="003612E4">
          <w:rPr>
            <w:noProof/>
            <w:webHidden/>
          </w:rPr>
          <w:fldChar w:fldCharType="end"/>
        </w:r>
      </w:hyperlink>
    </w:p>
    <w:p w14:paraId="514256F5" w14:textId="410BAE0A"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21" w:history="1">
        <w:r w:rsidR="003612E4" w:rsidRPr="00E61DF4">
          <w:rPr>
            <w:rStyle w:val="Hyperlink"/>
            <w:noProof/>
          </w:rPr>
          <w:t>1.1</w:t>
        </w:r>
        <w:r w:rsidR="003612E4">
          <w:rPr>
            <w:rFonts w:asciiTheme="minorHAnsi" w:eastAsiaTheme="minorEastAsia" w:hAnsiTheme="minorHAnsi" w:cstheme="minorBidi"/>
            <w:smallCaps w:val="0"/>
            <w:noProof/>
            <w:sz w:val="22"/>
            <w:szCs w:val="22"/>
          </w:rPr>
          <w:tab/>
        </w:r>
        <w:r w:rsidR="003612E4" w:rsidRPr="00E61DF4">
          <w:rPr>
            <w:rStyle w:val="Hyperlink"/>
            <w:noProof/>
          </w:rPr>
          <w:t>Who May Elect the International Administrator Option?</w:t>
        </w:r>
        <w:r w:rsidR="003612E4">
          <w:rPr>
            <w:noProof/>
            <w:webHidden/>
          </w:rPr>
          <w:tab/>
        </w:r>
        <w:r w:rsidR="003612E4">
          <w:rPr>
            <w:noProof/>
            <w:webHidden/>
          </w:rPr>
          <w:fldChar w:fldCharType="begin"/>
        </w:r>
        <w:r w:rsidR="003612E4">
          <w:rPr>
            <w:noProof/>
            <w:webHidden/>
          </w:rPr>
          <w:instrText xml:space="preserve"> PAGEREF _Toc9618521 \h </w:instrText>
        </w:r>
        <w:r w:rsidR="003612E4">
          <w:rPr>
            <w:noProof/>
            <w:webHidden/>
          </w:rPr>
        </w:r>
        <w:r w:rsidR="003612E4">
          <w:rPr>
            <w:noProof/>
            <w:webHidden/>
          </w:rPr>
          <w:fldChar w:fldCharType="separate"/>
        </w:r>
        <w:r w:rsidR="00DA6C22">
          <w:rPr>
            <w:noProof/>
            <w:webHidden/>
          </w:rPr>
          <w:t>1</w:t>
        </w:r>
        <w:r w:rsidR="003612E4">
          <w:rPr>
            <w:noProof/>
            <w:webHidden/>
          </w:rPr>
          <w:fldChar w:fldCharType="end"/>
        </w:r>
      </w:hyperlink>
    </w:p>
    <w:p w14:paraId="790ECCAB" w14:textId="113608C6"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22" w:history="1">
        <w:r w:rsidR="003612E4" w:rsidRPr="00E61DF4">
          <w:rPr>
            <w:rStyle w:val="Hyperlink"/>
            <w:noProof/>
          </w:rPr>
          <w:t>1.1.1</w:t>
        </w:r>
        <w:r w:rsidR="003612E4">
          <w:rPr>
            <w:rFonts w:asciiTheme="minorHAnsi" w:eastAsiaTheme="minorEastAsia" w:hAnsiTheme="minorHAnsi" w:cstheme="minorBidi"/>
            <w:i w:val="0"/>
            <w:iCs w:val="0"/>
            <w:noProof/>
            <w:sz w:val="22"/>
            <w:szCs w:val="22"/>
          </w:rPr>
          <w:tab/>
        </w:r>
        <w:r w:rsidR="003612E4" w:rsidRPr="00E61DF4">
          <w:rPr>
            <w:rStyle w:val="Hyperlink"/>
            <w:noProof/>
          </w:rPr>
          <w:t>Active Staff MIP Participants</w:t>
        </w:r>
        <w:r w:rsidR="003612E4">
          <w:rPr>
            <w:noProof/>
            <w:webHidden/>
          </w:rPr>
          <w:tab/>
        </w:r>
        <w:r w:rsidR="003612E4">
          <w:rPr>
            <w:noProof/>
            <w:webHidden/>
          </w:rPr>
          <w:fldChar w:fldCharType="begin"/>
        </w:r>
        <w:r w:rsidR="003612E4">
          <w:rPr>
            <w:noProof/>
            <w:webHidden/>
          </w:rPr>
          <w:instrText xml:space="preserve"> PAGEREF _Toc9618522 \h </w:instrText>
        </w:r>
        <w:r w:rsidR="003612E4">
          <w:rPr>
            <w:noProof/>
            <w:webHidden/>
          </w:rPr>
        </w:r>
        <w:r w:rsidR="003612E4">
          <w:rPr>
            <w:noProof/>
            <w:webHidden/>
          </w:rPr>
          <w:fldChar w:fldCharType="separate"/>
        </w:r>
        <w:r w:rsidR="00DA6C22">
          <w:rPr>
            <w:noProof/>
            <w:webHidden/>
          </w:rPr>
          <w:t>1</w:t>
        </w:r>
        <w:r w:rsidR="003612E4">
          <w:rPr>
            <w:noProof/>
            <w:webHidden/>
          </w:rPr>
          <w:fldChar w:fldCharType="end"/>
        </w:r>
      </w:hyperlink>
    </w:p>
    <w:p w14:paraId="47CEA9E4" w14:textId="24F49B2D"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23" w:history="1">
        <w:r w:rsidR="003612E4" w:rsidRPr="00E61DF4">
          <w:rPr>
            <w:rStyle w:val="Hyperlink"/>
            <w:noProof/>
          </w:rPr>
          <w:t>1.1.2</w:t>
        </w:r>
        <w:r w:rsidR="003612E4">
          <w:rPr>
            <w:rFonts w:asciiTheme="minorHAnsi" w:eastAsiaTheme="minorEastAsia" w:hAnsiTheme="minorHAnsi" w:cstheme="minorBidi"/>
            <w:i w:val="0"/>
            <w:iCs w:val="0"/>
            <w:noProof/>
            <w:sz w:val="22"/>
            <w:szCs w:val="22"/>
          </w:rPr>
          <w:tab/>
        </w:r>
        <w:r w:rsidR="003612E4" w:rsidRPr="00E61DF4">
          <w:rPr>
            <w:rStyle w:val="Hyperlink"/>
            <w:noProof/>
          </w:rPr>
          <w:t>Retiree MIP Participants</w:t>
        </w:r>
        <w:r w:rsidR="003612E4">
          <w:rPr>
            <w:noProof/>
            <w:webHidden/>
          </w:rPr>
          <w:tab/>
        </w:r>
        <w:r w:rsidR="003612E4">
          <w:rPr>
            <w:noProof/>
            <w:webHidden/>
          </w:rPr>
          <w:fldChar w:fldCharType="begin"/>
        </w:r>
        <w:r w:rsidR="003612E4">
          <w:rPr>
            <w:noProof/>
            <w:webHidden/>
          </w:rPr>
          <w:instrText xml:space="preserve"> PAGEREF _Toc9618523 \h </w:instrText>
        </w:r>
        <w:r w:rsidR="003612E4">
          <w:rPr>
            <w:noProof/>
            <w:webHidden/>
          </w:rPr>
        </w:r>
        <w:r w:rsidR="003612E4">
          <w:rPr>
            <w:noProof/>
            <w:webHidden/>
          </w:rPr>
          <w:fldChar w:fldCharType="separate"/>
        </w:r>
        <w:r w:rsidR="00DA6C22">
          <w:rPr>
            <w:noProof/>
            <w:webHidden/>
          </w:rPr>
          <w:t>1</w:t>
        </w:r>
        <w:r w:rsidR="003612E4">
          <w:rPr>
            <w:noProof/>
            <w:webHidden/>
          </w:rPr>
          <w:fldChar w:fldCharType="end"/>
        </w:r>
      </w:hyperlink>
    </w:p>
    <w:p w14:paraId="5E586DB6" w14:textId="173F4522"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24" w:history="1">
        <w:r w:rsidR="003612E4" w:rsidRPr="00E61DF4">
          <w:rPr>
            <w:rStyle w:val="Hyperlink"/>
            <w:noProof/>
          </w:rPr>
          <w:t>1.1.3</w:t>
        </w:r>
        <w:r w:rsidR="003612E4">
          <w:rPr>
            <w:rFonts w:asciiTheme="minorHAnsi" w:eastAsiaTheme="minorEastAsia" w:hAnsiTheme="minorHAnsi" w:cstheme="minorBidi"/>
            <w:i w:val="0"/>
            <w:iCs w:val="0"/>
            <w:noProof/>
            <w:sz w:val="22"/>
            <w:szCs w:val="22"/>
          </w:rPr>
          <w:tab/>
        </w:r>
        <w:r w:rsidR="003612E4" w:rsidRPr="00E61DF4">
          <w:rPr>
            <w:rStyle w:val="Hyperlink"/>
            <w:noProof/>
          </w:rPr>
          <w:t>Sponsored Plan Participants</w:t>
        </w:r>
        <w:r w:rsidR="003612E4">
          <w:rPr>
            <w:noProof/>
            <w:webHidden/>
          </w:rPr>
          <w:tab/>
        </w:r>
        <w:r w:rsidR="003612E4">
          <w:rPr>
            <w:noProof/>
            <w:webHidden/>
          </w:rPr>
          <w:fldChar w:fldCharType="begin"/>
        </w:r>
        <w:r w:rsidR="003612E4">
          <w:rPr>
            <w:noProof/>
            <w:webHidden/>
          </w:rPr>
          <w:instrText xml:space="preserve"> PAGEREF _Toc9618524 \h </w:instrText>
        </w:r>
        <w:r w:rsidR="003612E4">
          <w:rPr>
            <w:noProof/>
            <w:webHidden/>
          </w:rPr>
        </w:r>
        <w:r w:rsidR="003612E4">
          <w:rPr>
            <w:noProof/>
            <w:webHidden/>
          </w:rPr>
          <w:fldChar w:fldCharType="separate"/>
        </w:r>
        <w:r w:rsidR="00DA6C22">
          <w:rPr>
            <w:noProof/>
            <w:webHidden/>
          </w:rPr>
          <w:t>1</w:t>
        </w:r>
        <w:r w:rsidR="003612E4">
          <w:rPr>
            <w:noProof/>
            <w:webHidden/>
          </w:rPr>
          <w:fldChar w:fldCharType="end"/>
        </w:r>
      </w:hyperlink>
    </w:p>
    <w:p w14:paraId="0175CFD0" w14:textId="07047B73"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25" w:history="1">
        <w:r w:rsidR="003612E4" w:rsidRPr="00E61DF4">
          <w:rPr>
            <w:rStyle w:val="Hyperlink"/>
            <w:noProof/>
          </w:rPr>
          <w:t>1.1.4</w:t>
        </w:r>
        <w:r w:rsidR="003612E4">
          <w:rPr>
            <w:rFonts w:asciiTheme="minorHAnsi" w:eastAsiaTheme="minorEastAsia" w:hAnsiTheme="minorHAnsi" w:cstheme="minorBidi"/>
            <w:i w:val="0"/>
            <w:iCs w:val="0"/>
            <w:noProof/>
            <w:sz w:val="22"/>
            <w:szCs w:val="22"/>
          </w:rPr>
          <w:tab/>
        </w:r>
        <w:r w:rsidR="003612E4" w:rsidRPr="00E61DF4">
          <w:rPr>
            <w:rStyle w:val="Hyperlink"/>
            <w:noProof/>
          </w:rPr>
          <w:t>Use of Both Administrators</w:t>
        </w:r>
        <w:r w:rsidR="003612E4">
          <w:rPr>
            <w:noProof/>
            <w:webHidden/>
          </w:rPr>
          <w:tab/>
        </w:r>
        <w:r w:rsidR="003612E4">
          <w:rPr>
            <w:noProof/>
            <w:webHidden/>
          </w:rPr>
          <w:fldChar w:fldCharType="begin"/>
        </w:r>
        <w:r w:rsidR="003612E4">
          <w:rPr>
            <w:noProof/>
            <w:webHidden/>
          </w:rPr>
          <w:instrText xml:space="preserve"> PAGEREF _Toc9618525 \h </w:instrText>
        </w:r>
        <w:r w:rsidR="003612E4">
          <w:rPr>
            <w:noProof/>
            <w:webHidden/>
          </w:rPr>
        </w:r>
        <w:r w:rsidR="003612E4">
          <w:rPr>
            <w:noProof/>
            <w:webHidden/>
          </w:rPr>
          <w:fldChar w:fldCharType="separate"/>
        </w:r>
        <w:r w:rsidR="00DA6C22">
          <w:rPr>
            <w:noProof/>
            <w:webHidden/>
          </w:rPr>
          <w:t>1</w:t>
        </w:r>
        <w:r w:rsidR="003612E4">
          <w:rPr>
            <w:noProof/>
            <w:webHidden/>
          </w:rPr>
          <w:fldChar w:fldCharType="end"/>
        </w:r>
      </w:hyperlink>
    </w:p>
    <w:p w14:paraId="1FB2193C" w14:textId="7CA176D5"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26" w:history="1">
        <w:r w:rsidR="003612E4" w:rsidRPr="00E61DF4">
          <w:rPr>
            <w:rStyle w:val="Hyperlink"/>
            <w:noProof/>
          </w:rPr>
          <w:t>1.2</w:t>
        </w:r>
        <w:r w:rsidR="003612E4">
          <w:rPr>
            <w:rFonts w:asciiTheme="minorHAnsi" w:eastAsiaTheme="minorEastAsia" w:hAnsiTheme="minorHAnsi" w:cstheme="minorBidi"/>
            <w:smallCaps w:val="0"/>
            <w:noProof/>
            <w:sz w:val="22"/>
            <w:szCs w:val="22"/>
          </w:rPr>
          <w:tab/>
        </w:r>
        <w:r w:rsidR="003612E4" w:rsidRPr="00E61DF4">
          <w:rPr>
            <w:rStyle w:val="Hyperlink"/>
            <w:noProof/>
          </w:rPr>
          <w:t>How Do I Enroll if I Am Eligible?</w:t>
        </w:r>
        <w:r w:rsidR="003612E4">
          <w:rPr>
            <w:noProof/>
            <w:webHidden/>
          </w:rPr>
          <w:tab/>
        </w:r>
        <w:r w:rsidR="003612E4">
          <w:rPr>
            <w:noProof/>
            <w:webHidden/>
          </w:rPr>
          <w:fldChar w:fldCharType="begin"/>
        </w:r>
        <w:r w:rsidR="003612E4">
          <w:rPr>
            <w:noProof/>
            <w:webHidden/>
          </w:rPr>
          <w:instrText xml:space="preserve"> PAGEREF _Toc9618526 \h </w:instrText>
        </w:r>
        <w:r w:rsidR="003612E4">
          <w:rPr>
            <w:noProof/>
            <w:webHidden/>
          </w:rPr>
        </w:r>
        <w:r w:rsidR="003612E4">
          <w:rPr>
            <w:noProof/>
            <w:webHidden/>
          </w:rPr>
          <w:fldChar w:fldCharType="separate"/>
        </w:r>
        <w:r w:rsidR="00DA6C22">
          <w:rPr>
            <w:noProof/>
            <w:webHidden/>
          </w:rPr>
          <w:t>2</w:t>
        </w:r>
        <w:r w:rsidR="003612E4">
          <w:rPr>
            <w:noProof/>
            <w:webHidden/>
          </w:rPr>
          <w:fldChar w:fldCharType="end"/>
        </w:r>
      </w:hyperlink>
    </w:p>
    <w:p w14:paraId="0E7ECEE5" w14:textId="3FD25883"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27" w:history="1">
        <w:r w:rsidR="003612E4" w:rsidRPr="00E61DF4">
          <w:rPr>
            <w:rStyle w:val="Hyperlink"/>
            <w:noProof/>
          </w:rPr>
          <w:t>2</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Plan Design and Premiums</w:t>
        </w:r>
        <w:r w:rsidR="003612E4">
          <w:rPr>
            <w:noProof/>
            <w:webHidden/>
          </w:rPr>
          <w:tab/>
        </w:r>
        <w:r w:rsidR="003612E4">
          <w:rPr>
            <w:noProof/>
            <w:webHidden/>
          </w:rPr>
          <w:fldChar w:fldCharType="begin"/>
        </w:r>
        <w:r w:rsidR="003612E4">
          <w:rPr>
            <w:noProof/>
            <w:webHidden/>
          </w:rPr>
          <w:instrText xml:space="preserve"> PAGEREF _Toc9618527 \h </w:instrText>
        </w:r>
        <w:r w:rsidR="003612E4">
          <w:rPr>
            <w:noProof/>
            <w:webHidden/>
          </w:rPr>
        </w:r>
        <w:r w:rsidR="003612E4">
          <w:rPr>
            <w:noProof/>
            <w:webHidden/>
          </w:rPr>
          <w:fldChar w:fldCharType="separate"/>
        </w:r>
        <w:r w:rsidR="00DA6C22">
          <w:rPr>
            <w:noProof/>
            <w:webHidden/>
          </w:rPr>
          <w:t>2</w:t>
        </w:r>
        <w:r w:rsidR="003612E4">
          <w:rPr>
            <w:noProof/>
            <w:webHidden/>
          </w:rPr>
          <w:fldChar w:fldCharType="end"/>
        </w:r>
      </w:hyperlink>
    </w:p>
    <w:p w14:paraId="31D3D9BB" w14:textId="56CF7A31"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28" w:history="1">
        <w:r w:rsidR="003612E4" w:rsidRPr="00E61DF4">
          <w:rPr>
            <w:rStyle w:val="Hyperlink"/>
            <w:noProof/>
          </w:rPr>
          <w:t>2.1</w:t>
        </w:r>
        <w:r w:rsidR="003612E4">
          <w:rPr>
            <w:rFonts w:asciiTheme="minorHAnsi" w:eastAsiaTheme="minorEastAsia" w:hAnsiTheme="minorHAnsi" w:cstheme="minorBidi"/>
            <w:smallCaps w:val="0"/>
            <w:noProof/>
            <w:sz w:val="22"/>
            <w:szCs w:val="22"/>
          </w:rPr>
          <w:tab/>
        </w:r>
        <w:r w:rsidR="003612E4" w:rsidRPr="00E61DF4">
          <w:rPr>
            <w:rStyle w:val="Hyperlink"/>
            <w:noProof/>
          </w:rPr>
          <w:t>Plan Design</w:t>
        </w:r>
        <w:r w:rsidR="003612E4">
          <w:rPr>
            <w:noProof/>
            <w:webHidden/>
          </w:rPr>
          <w:tab/>
        </w:r>
        <w:r w:rsidR="003612E4">
          <w:rPr>
            <w:noProof/>
            <w:webHidden/>
          </w:rPr>
          <w:fldChar w:fldCharType="begin"/>
        </w:r>
        <w:r w:rsidR="003612E4">
          <w:rPr>
            <w:noProof/>
            <w:webHidden/>
          </w:rPr>
          <w:instrText xml:space="preserve"> PAGEREF _Toc9618528 \h </w:instrText>
        </w:r>
        <w:r w:rsidR="003612E4">
          <w:rPr>
            <w:noProof/>
            <w:webHidden/>
          </w:rPr>
        </w:r>
        <w:r w:rsidR="003612E4">
          <w:rPr>
            <w:noProof/>
            <w:webHidden/>
          </w:rPr>
          <w:fldChar w:fldCharType="separate"/>
        </w:r>
        <w:r w:rsidR="00DA6C22">
          <w:rPr>
            <w:noProof/>
            <w:webHidden/>
          </w:rPr>
          <w:t>2</w:t>
        </w:r>
        <w:r w:rsidR="003612E4">
          <w:rPr>
            <w:noProof/>
            <w:webHidden/>
          </w:rPr>
          <w:fldChar w:fldCharType="end"/>
        </w:r>
      </w:hyperlink>
    </w:p>
    <w:p w14:paraId="2754B569" w14:textId="5037F407"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29" w:history="1">
        <w:r w:rsidR="003612E4" w:rsidRPr="00E61DF4">
          <w:rPr>
            <w:rStyle w:val="Hyperlink"/>
            <w:noProof/>
          </w:rPr>
          <w:t>2.2</w:t>
        </w:r>
        <w:r w:rsidR="003612E4">
          <w:rPr>
            <w:rFonts w:asciiTheme="minorHAnsi" w:eastAsiaTheme="minorEastAsia" w:hAnsiTheme="minorHAnsi" w:cstheme="minorBidi"/>
            <w:smallCaps w:val="0"/>
            <w:noProof/>
            <w:sz w:val="22"/>
            <w:szCs w:val="22"/>
          </w:rPr>
          <w:tab/>
        </w:r>
        <w:r w:rsidR="003612E4" w:rsidRPr="00E61DF4">
          <w:rPr>
            <w:rStyle w:val="Hyperlink"/>
            <w:noProof/>
          </w:rPr>
          <w:t>Premiums</w:t>
        </w:r>
        <w:r w:rsidR="003612E4">
          <w:rPr>
            <w:noProof/>
            <w:webHidden/>
          </w:rPr>
          <w:tab/>
        </w:r>
        <w:r w:rsidR="003612E4">
          <w:rPr>
            <w:noProof/>
            <w:webHidden/>
          </w:rPr>
          <w:fldChar w:fldCharType="begin"/>
        </w:r>
        <w:r w:rsidR="003612E4">
          <w:rPr>
            <w:noProof/>
            <w:webHidden/>
          </w:rPr>
          <w:instrText xml:space="preserve"> PAGEREF _Toc9618529 \h </w:instrText>
        </w:r>
        <w:r w:rsidR="003612E4">
          <w:rPr>
            <w:noProof/>
            <w:webHidden/>
          </w:rPr>
        </w:r>
        <w:r w:rsidR="003612E4">
          <w:rPr>
            <w:noProof/>
            <w:webHidden/>
          </w:rPr>
          <w:fldChar w:fldCharType="separate"/>
        </w:r>
        <w:r w:rsidR="00DA6C22">
          <w:rPr>
            <w:noProof/>
            <w:webHidden/>
          </w:rPr>
          <w:t>3</w:t>
        </w:r>
        <w:r w:rsidR="003612E4">
          <w:rPr>
            <w:noProof/>
            <w:webHidden/>
          </w:rPr>
          <w:fldChar w:fldCharType="end"/>
        </w:r>
      </w:hyperlink>
    </w:p>
    <w:p w14:paraId="77C05080" w14:textId="59B73CBC"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30" w:history="1">
        <w:r w:rsidR="003612E4" w:rsidRPr="00E61DF4">
          <w:rPr>
            <w:rStyle w:val="Hyperlink"/>
            <w:noProof/>
          </w:rPr>
          <w:t>3</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Medical Care and Preferred Providers</w:t>
        </w:r>
        <w:r w:rsidR="003612E4">
          <w:rPr>
            <w:noProof/>
            <w:webHidden/>
          </w:rPr>
          <w:tab/>
        </w:r>
        <w:r w:rsidR="003612E4">
          <w:rPr>
            <w:noProof/>
            <w:webHidden/>
          </w:rPr>
          <w:fldChar w:fldCharType="begin"/>
        </w:r>
        <w:r w:rsidR="003612E4">
          <w:rPr>
            <w:noProof/>
            <w:webHidden/>
          </w:rPr>
          <w:instrText xml:space="preserve"> PAGEREF _Toc9618530 \h </w:instrText>
        </w:r>
        <w:r w:rsidR="003612E4">
          <w:rPr>
            <w:noProof/>
            <w:webHidden/>
          </w:rPr>
        </w:r>
        <w:r w:rsidR="003612E4">
          <w:rPr>
            <w:noProof/>
            <w:webHidden/>
          </w:rPr>
          <w:fldChar w:fldCharType="separate"/>
        </w:r>
        <w:r w:rsidR="00DA6C22">
          <w:rPr>
            <w:noProof/>
            <w:webHidden/>
          </w:rPr>
          <w:t>3</w:t>
        </w:r>
        <w:r w:rsidR="003612E4">
          <w:rPr>
            <w:noProof/>
            <w:webHidden/>
          </w:rPr>
          <w:fldChar w:fldCharType="end"/>
        </w:r>
      </w:hyperlink>
    </w:p>
    <w:p w14:paraId="27DD2E68" w14:textId="0BE4DBF1"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31" w:history="1">
        <w:r w:rsidR="003612E4" w:rsidRPr="00E61DF4">
          <w:rPr>
            <w:rStyle w:val="Hyperlink"/>
            <w:noProof/>
          </w:rPr>
          <w:t>3.1</w:t>
        </w:r>
        <w:r w:rsidR="003612E4">
          <w:rPr>
            <w:rFonts w:asciiTheme="minorHAnsi" w:eastAsiaTheme="minorEastAsia" w:hAnsiTheme="minorHAnsi" w:cstheme="minorBidi"/>
            <w:smallCaps w:val="0"/>
            <w:noProof/>
            <w:sz w:val="22"/>
            <w:szCs w:val="22"/>
          </w:rPr>
          <w:tab/>
        </w:r>
        <w:r w:rsidR="003612E4" w:rsidRPr="00E61DF4">
          <w:rPr>
            <w:rStyle w:val="Hyperlink"/>
            <w:noProof/>
          </w:rPr>
          <w:t>Care Outside the U.S.</w:t>
        </w:r>
        <w:r w:rsidR="003612E4">
          <w:rPr>
            <w:noProof/>
            <w:webHidden/>
          </w:rPr>
          <w:tab/>
        </w:r>
        <w:r w:rsidR="003612E4">
          <w:rPr>
            <w:noProof/>
            <w:webHidden/>
          </w:rPr>
          <w:fldChar w:fldCharType="begin"/>
        </w:r>
        <w:r w:rsidR="003612E4">
          <w:rPr>
            <w:noProof/>
            <w:webHidden/>
          </w:rPr>
          <w:instrText xml:space="preserve"> PAGEREF _Toc9618531 \h </w:instrText>
        </w:r>
        <w:r w:rsidR="003612E4">
          <w:rPr>
            <w:noProof/>
            <w:webHidden/>
          </w:rPr>
        </w:r>
        <w:r w:rsidR="003612E4">
          <w:rPr>
            <w:noProof/>
            <w:webHidden/>
          </w:rPr>
          <w:fldChar w:fldCharType="separate"/>
        </w:r>
        <w:r w:rsidR="00DA6C22">
          <w:rPr>
            <w:noProof/>
            <w:webHidden/>
          </w:rPr>
          <w:t>3</w:t>
        </w:r>
        <w:r w:rsidR="003612E4">
          <w:rPr>
            <w:noProof/>
            <w:webHidden/>
          </w:rPr>
          <w:fldChar w:fldCharType="end"/>
        </w:r>
      </w:hyperlink>
    </w:p>
    <w:p w14:paraId="6B4A1D3A" w14:textId="6DC6EBD9"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32" w:history="1">
        <w:r w:rsidR="003612E4" w:rsidRPr="00E61DF4">
          <w:rPr>
            <w:rStyle w:val="Hyperlink"/>
            <w:noProof/>
          </w:rPr>
          <w:t>3.2</w:t>
        </w:r>
        <w:r w:rsidR="003612E4">
          <w:rPr>
            <w:rFonts w:asciiTheme="minorHAnsi" w:eastAsiaTheme="minorEastAsia" w:hAnsiTheme="minorHAnsi" w:cstheme="minorBidi"/>
            <w:smallCaps w:val="0"/>
            <w:noProof/>
            <w:sz w:val="22"/>
            <w:szCs w:val="22"/>
          </w:rPr>
          <w:tab/>
        </w:r>
        <w:r w:rsidR="003612E4" w:rsidRPr="00E61DF4">
          <w:rPr>
            <w:rStyle w:val="Hyperlink"/>
            <w:noProof/>
          </w:rPr>
          <w:t>Care Within the U.S.</w:t>
        </w:r>
        <w:r w:rsidR="003612E4">
          <w:rPr>
            <w:noProof/>
            <w:webHidden/>
          </w:rPr>
          <w:tab/>
        </w:r>
        <w:r w:rsidR="003612E4">
          <w:rPr>
            <w:noProof/>
            <w:webHidden/>
          </w:rPr>
          <w:fldChar w:fldCharType="begin"/>
        </w:r>
        <w:r w:rsidR="003612E4">
          <w:rPr>
            <w:noProof/>
            <w:webHidden/>
          </w:rPr>
          <w:instrText xml:space="preserve"> PAGEREF _Toc9618532 \h </w:instrText>
        </w:r>
        <w:r w:rsidR="003612E4">
          <w:rPr>
            <w:noProof/>
            <w:webHidden/>
          </w:rPr>
        </w:r>
        <w:r w:rsidR="003612E4">
          <w:rPr>
            <w:noProof/>
            <w:webHidden/>
          </w:rPr>
          <w:fldChar w:fldCharType="separate"/>
        </w:r>
        <w:r w:rsidR="00DA6C22">
          <w:rPr>
            <w:noProof/>
            <w:webHidden/>
          </w:rPr>
          <w:t>3</w:t>
        </w:r>
        <w:r w:rsidR="003612E4">
          <w:rPr>
            <w:noProof/>
            <w:webHidden/>
          </w:rPr>
          <w:fldChar w:fldCharType="end"/>
        </w:r>
      </w:hyperlink>
    </w:p>
    <w:p w14:paraId="155024EC" w14:textId="1C7C109B"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33" w:history="1">
        <w:r w:rsidR="003612E4" w:rsidRPr="00E61DF4">
          <w:rPr>
            <w:rStyle w:val="Hyperlink"/>
            <w:noProof/>
          </w:rPr>
          <w:t>3.3</w:t>
        </w:r>
        <w:r w:rsidR="003612E4">
          <w:rPr>
            <w:rFonts w:asciiTheme="minorHAnsi" w:eastAsiaTheme="minorEastAsia" w:hAnsiTheme="minorHAnsi" w:cstheme="minorBidi"/>
            <w:smallCaps w:val="0"/>
            <w:noProof/>
            <w:sz w:val="22"/>
            <w:szCs w:val="22"/>
          </w:rPr>
          <w:tab/>
        </w:r>
        <w:r w:rsidR="003612E4" w:rsidRPr="00E61DF4">
          <w:rPr>
            <w:rStyle w:val="Hyperlink"/>
            <w:noProof/>
          </w:rPr>
          <w:t>Dental Services</w:t>
        </w:r>
        <w:r w:rsidR="003612E4">
          <w:rPr>
            <w:noProof/>
            <w:webHidden/>
          </w:rPr>
          <w:tab/>
        </w:r>
        <w:r w:rsidR="003612E4">
          <w:rPr>
            <w:noProof/>
            <w:webHidden/>
          </w:rPr>
          <w:fldChar w:fldCharType="begin"/>
        </w:r>
        <w:r w:rsidR="003612E4">
          <w:rPr>
            <w:noProof/>
            <w:webHidden/>
          </w:rPr>
          <w:instrText xml:space="preserve"> PAGEREF _Toc9618533 \h </w:instrText>
        </w:r>
        <w:r w:rsidR="003612E4">
          <w:rPr>
            <w:noProof/>
            <w:webHidden/>
          </w:rPr>
        </w:r>
        <w:r w:rsidR="003612E4">
          <w:rPr>
            <w:noProof/>
            <w:webHidden/>
          </w:rPr>
          <w:fldChar w:fldCharType="separate"/>
        </w:r>
        <w:r w:rsidR="00DA6C22">
          <w:rPr>
            <w:noProof/>
            <w:webHidden/>
          </w:rPr>
          <w:t>4</w:t>
        </w:r>
        <w:r w:rsidR="003612E4">
          <w:rPr>
            <w:noProof/>
            <w:webHidden/>
          </w:rPr>
          <w:fldChar w:fldCharType="end"/>
        </w:r>
      </w:hyperlink>
    </w:p>
    <w:p w14:paraId="3EA5261C" w14:textId="36199D18"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34" w:history="1">
        <w:r w:rsidR="003612E4" w:rsidRPr="00E61DF4">
          <w:rPr>
            <w:rStyle w:val="Hyperlink"/>
            <w:noProof/>
          </w:rPr>
          <w:t>3.4</w:t>
        </w:r>
        <w:r w:rsidR="003612E4">
          <w:rPr>
            <w:rFonts w:asciiTheme="minorHAnsi" w:eastAsiaTheme="minorEastAsia" w:hAnsiTheme="minorHAnsi" w:cstheme="minorBidi"/>
            <w:smallCaps w:val="0"/>
            <w:noProof/>
            <w:sz w:val="22"/>
            <w:szCs w:val="22"/>
          </w:rPr>
          <w:tab/>
        </w:r>
        <w:r w:rsidR="003612E4" w:rsidRPr="00E61DF4">
          <w:rPr>
            <w:rStyle w:val="Hyperlink"/>
            <w:noProof/>
          </w:rPr>
          <w:t>Pharmacy Services</w:t>
        </w:r>
        <w:r w:rsidR="003612E4">
          <w:rPr>
            <w:noProof/>
            <w:webHidden/>
          </w:rPr>
          <w:tab/>
        </w:r>
        <w:r w:rsidR="003612E4">
          <w:rPr>
            <w:noProof/>
            <w:webHidden/>
          </w:rPr>
          <w:fldChar w:fldCharType="begin"/>
        </w:r>
        <w:r w:rsidR="003612E4">
          <w:rPr>
            <w:noProof/>
            <w:webHidden/>
          </w:rPr>
          <w:instrText xml:space="preserve"> PAGEREF _Toc9618534 \h </w:instrText>
        </w:r>
        <w:r w:rsidR="003612E4">
          <w:rPr>
            <w:noProof/>
            <w:webHidden/>
          </w:rPr>
        </w:r>
        <w:r w:rsidR="003612E4">
          <w:rPr>
            <w:noProof/>
            <w:webHidden/>
          </w:rPr>
          <w:fldChar w:fldCharType="separate"/>
        </w:r>
        <w:r w:rsidR="00DA6C22">
          <w:rPr>
            <w:noProof/>
            <w:webHidden/>
          </w:rPr>
          <w:t>4</w:t>
        </w:r>
        <w:r w:rsidR="003612E4">
          <w:rPr>
            <w:noProof/>
            <w:webHidden/>
          </w:rPr>
          <w:fldChar w:fldCharType="end"/>
        </w:r>
      </w:hyperlink>
    </w:p>
    <w:p w14:paraId="60B3D8BC" w14:textId="666BF5DC"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35" w:history="1">
        <w:r w:rsidR="003612E4" w:rsidRPr="00E61DF4">
          <w:rPr>
            <w:rStyle w:val="Hyperlink"/>
            <w:noProof/>
          </w:rPr>
          <w:t>3.4.1</w:t>
        </w:r>
        <w:r w:rsidR="003612E4">
          <w:rPr>
            <w:rFonts w:asciiTheme="minorHAnsi" w:eastAsiaTheme="minorEastAsia" w:hAnsiTheme="minorHAnsi" w:cstheme="minorBidi"/>
            <w:i w:val="0"/>
            <w:iCs w:val="0"/>
            <w:noProof/>
            <w:sz w:val="22"/>
            <w:szCs w:val="22"/>
          </w:rPr>
          <w:tab/>
        </w:r>
        <w:r w:rsidR="003612E4" w:rsidRPr="00E61DF4">
          <w:rPr>
            <w:rStyle w:val="Hyperlink"/>
            <w:noProof/>
          </w:rPr>
          <w:t>CVS/caremark Out-of-Pocket Maximum Coordination</w:t>
        </w:r>
        <w:r w:rsidR="003612E4">
          <w:rPr>
            <w:noProof/>
            <w:webHidden/>
          </w:rPr>
          <w:tab/>
        </w:r>
        <w:r w:rsidR="003612E4">
          <w:rPr>
            <w:noProof/>
            <w:webHidden/>
          </w:rPr>
          <w:fldChar w:fldCharType="begin"/>
        </w:r>
        <w:r w:rsidR="003612E4">
          <w:rPr>
            <w:noProof/>
            <w:webHidden/>
          </w:rPr>
          <w:instrText xml:space="preserve"> PAGEREF _Toc9618535 \h </w:instrText>
        </w:r>
        <w:r w:rsidR="003612E4">
          <w:rPr>
            <w:noProof/>
            <w:webHidden/>
          </w:rPr>
        </w:r>
        <w:r w:rsidR="003612E4">
          <w:rPr>
            <w:noProof/>
            <w:webHidden/>
          </w:rPr>
          <w:fldChar w:fldCharType="separate"/>
        </w:r>
        <w:r w:rsidR="00DA6C22">
          <w:rPr>
            <w:noProof/>
            <w:webHidden/>
          </w:rPr>
          <w:t>6</w:t>
        </w:r>
        <w:r w:rsidR="003612E4">
          <w:rPr>
            <w:noProof/>
            <w:webHidden/>
          </w:rPr>
          <w:fldChar w:fldCharType="end"/>
        </w:r>
      </w:hyperlink>
    </w:p>
    <w:p w14:paraId="6E8E98F5" w14:textId="373ED20A"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36" w:history="1">
        <w:r w:rsidR="003612E4" w:rsidRPr="00E61DF4">
          <w:rPr>
            <w:rStyle w:val="Hyperlink"/>
            <w:noProof/>
          </w:rPr>
          <w:t>4</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Identification Cards</w:t>
        </w:r>
        <w:r w:rsidR="003612E4">
          <w:rPr>
            <w:noProof/>
            <w:webHidden/>
          </w:rPr>
          <w:tab/>
        </w:r>
        <w:r w:rsidR="003612E4">
          <w:rPr>
            <w:noProof/>
            <w:webHidden/>
          </w:rPr>
          <w:fldChar w:fldCharType="begin"/>
        </w:r>
        <w:r w:rsidR="003612E4">
          <w:rPr>
            <w:noProof/>
            <w:webHidden/>
          </w:rPr>
          <w:instrText xml:space="preserve"> PAGEREF _Toc9618536 \h </w:instrText>
        </w:r>
        <w:r w:rsidR="003612E4">
          <w:rPr>
            <w:noProof/>
            <w:webHidden/>
          </w:rPr>
        </w:r>
        <w:r w:rsidR="003612E4">
          <w:rPr>
            <w:noProof/>
            <w:webHidden/>
          </w:rPr>
          <w:fldChar w:fldCharType="separate"/>
        </w:r>
        <w:r w:rsidR="00DA6C22">
          <w:rPr>
            <w:noProof/>
            <w:webHidden/>
          </w:rPr>
          <w:t>6</w:t>
        </w:r>
        <w:r w:rsidR="003612E4">
          <w:rPr>
            <w:noProof/>
            <w:webHidden/>
          </w:rPr>
          <w:fldChar w:fldCharType="end"/>
        </w:r>
      </w:hyperlink>
    </w:p>
    <w:p w14:paraId="6F8EE816" w14:textId="7E9AB9A1"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37" w:history="1">
        <w:r w:rsidR="003612E4" w:rsidRPr="00E61DF4">
          <w:rPr>
            <w:rStyle w:val="Hyperlink"/>
            <w:noProof/>
          </w:rPr>
          <w:t>5</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Direct Billing and Negotiated Fees</w:t>
        </w:r>
        <w:r w:rsidR="003612E4">
          <w:rPr>
            <w:noProof/>
            <w:webHidden/>
          </w:rPr>
          <w:tab/>
        </w:r>
        <w:r w:rsidR="003612E4">
          <w:rPr>
            <w:noProof/>
            <w:webHidden/>
          </w:rPr>
          <w:fldChar w:fldCharType="begin"/>
        </w:r>
        <w:r w:rsidR="003612E4">
          <w:rPr>
            <w:noProof/>
            <w:webHidden/>
          </w:rPr>
          <w:instrText xml:space="preserve"> PAGEREF _Toc9618537 \h </w:instrText>
        </w:r>
        <w:r w:rsidR="003612E4">
          <w:rPr>
            <w:noProof/>
            <w:webHidden/>
          </w:rPr>
        </w:r>
        <w:r w:rsidR="003612E4">
          <w:rPr>
            <w:noProof/>
            <w:webHidden/>
          </w:rPr>
          <w:fldChar w:fldCharType="separate"/>
        </w:r>
        <w:r w:rsidR="00DA6C22">
          <w:rPr>
            <w:noProof/>
            <w:webHidden/>
          </w:rPr>
          <w:t>7</w:t>
        </w:r>
        <w:r w:rsidR="003612E4">
          <w:rPr>
            <w:noProof/>
            <w:webHidden/>
          </w:rPr>
          <w:fldChar w:fldCharType="end"/>
        </w:r>
      </w:hyperlink>
    </w:p>
    <w:p w14:paraId="586A8236" w14:textId="2049AB28"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38" w:history="1">
        <w:r w:rsidR="003612E4" w:rsidRPr="00E61DF4">
          <w:rPr>
            <w:rStyle w:val="Hyperlink"/>
            <w:noProof/>
          </w:rPr>
          <w:t>5.1</w:t>
        </w:r>
        <w:r w:rsidR="003612E4">
          <w:rPr>
            <w:rFonts w:asciiTheme="minorHAnsi" w:eastAsiaTheme="minorEastAsia" w:hAnsiTheme="minorHAnsi" w:cstheme="minorBidi"/>
            <w:smallCaps w:val="0"/>
            <w:noProof/>
            <w:sz w:val="22"/>
            <w:szCs w:val="22"/>
          </w:rPr>
          <w:tab/>
        </w:r>
        <w:r w:rsidR="003612E4" w:rsidRPr="00E61DF4">
          <w:rPr>
            <w:rStyle w:val="Hyperlink"/>
            <w:noProof/>
          </w:rPr>
          <w:t>Direct Billing</w:t>
        </w:r>
        <w:r w:rsidR="003612E4">
          <w:rPr>
            <w:noProof/>
            <w:webHidden/>
          </w:rPr>
          <w:tab/>
        </w:r>
        <w:r w:rsidR="003612E4">
          <w:rPr>
            <w:noProof/>
            <w:webHidden/>
          </w:rPr>
          <w:fldChar w:fldCharType="begin"/>
        </w:r>
        <w:r w:rsidR="003612E4">
          <w:rPr>
            <w:noProof/>
            <w:webHidden/>
          </w:rPr>
          <w:instrText xml:space="preserve"> PAGEREF _Toc9618538 \h </w:instrText>
        </w:r>
        <w:r w:rsidR="003612E4">
          <w:rPr>
            <w:noProof/>
            <w:webHidden/>
          </w:rPr>
        </w:r>
        <w:r w:rsidR="003612E4">
          <w:rPr>
            <w:noProof/>
            <w:webHidden/>
          </w:rPr>
          <w:fldChar w:fldCharType="separate"/>
        </w:r>
        <w:r w:rsidR="00DA6C22">
          <w:rPr>
            <w:noProof/>
            <w:webHidden/>
          </w:rPr>
          <w:t>7</w:t>
        </w:r>
        <w:r w:rsidR="003612E4">
          <w:rPr>
            <w:noProof/>
            <w:webHidden/>
          </w:rPr>
          <w:fldChar w:fldCharType="end"/>
        </w:r>
      </w:hyperlink>
    </w:p>
    <w:p w14:paraId="091232F4" w14:textId="0C5988DF"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39" w:history="1">
        <w:r w:rsidR="003612E4" w:rsidRPr="00E61DF4">
          <w:rPr>
            <w:rStyle w:val="Hyperlink"/>
            <w:noProof/>
          </w:rPr>
          <w:t>5.2</w:t>
        </w:r>
        <w:r w:rsidR="003612E4">
          <w:rPr>
            <w:rFonts w:asciiTheme="minorHAnsi" w:eastAsiaTheme="minorEastAsia" w:hAnsiTheme="minorHAnsi" w:cstheme="minorBidi"/>
            <w:smallCaps w:val="0"/>
            <w:noProof/>
            <w:sz w:val="22"/>
            <w:szCs w:val="22"/>
          </w:rPr>
          <w:tab/>
        </w:r>
        <w:r w:rsidR="003612E4" w:rsidRPr="00E61DF4">
          <w:rPr>
            <w:rStyle w:val="Hyperlink"/>
            <w:noProof/>
          </w:rPr>
          <w:t>Negotiated Fees</w:t>
        </w:r>
        <w:r w:rsidR="003612E4">
          <w:rPr>
            <w:noProof/>
            <w:webHidden/>
          </w:rPr>
          <w:tab/>
        </w:r>
        <w:r w:rsidR="003612E4">
          <w:rPr>
            <w:noProof/>
            <w:webHidden/>
          </w:rPr>
          <w:fldChar w:fldCharType="begin"/>
        </w:r>
        <w:r w:rsidR="003612E4">
          <w:rPr>
            <w:noProof/>
            <w:webHidden/>
          </w:rPr>
          <w:instrText xml:space="preserve"> PAGEREF _Toc9618539 \h </w:instrText>
        </w:r>
        <w:r w:rsidR="003612E4">
          <w:rPr>
            <w:noProof/>
            <w:webHidden/>
          </w:rPr>
        </w:r>
        <w:r w:rsidR="003612E4">
          <w:rPr>
            <w:noProof/>
            <w:webHidden/>
          </w:rPr>
          <w:fldChar w:fldCharType="separate"/>
        </w:r>
        <w:r w:rsidR="00DA6C22">
          <w:rPr>
            <w:noProof/>
            <w:webHidden/>
          </w:rPr>
          <w:t>7</w:t>
        </w:r>
        <w:r w:rsidR="003612E4">
          <w:rPr>
            <w:noProof/>
            <w:webHidden/>
          </w:rPr>
          <w:fldChar w:fldCharType="end"/>
        </w:r>
      </w:hyperlink>
    </w:p>
    <w:p w14:paraId="1A396C3F" w14:textId="18CB86C8"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40" w:history="1">
        <w:r w:rsidR="003612E4" w:rsidRPr="00E61DF4">
          <w:rPr>
            <w:rStyle w:val="Hyperlink"/>
            <w:noProof/>
          </w:rPr>
          <w:t>6</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Cigna Claims Processing and Services</w:t>
        </w:r>
        <w:r w:rsidR="003612E4">
          <w:rPr>
            <w:noProof/>
            <w:webHidden/>
          </w:rPr>
          <w:tab/>
        </w:r>
        <w:r w:rsidR="003612E4">
          <w:rPr>
            <w:noProof/>
            <w:webHidden/>
          </w:rPr>
          <w:fldChar w:fldCharType="begin"/>
        </w:r>
        <w:r w:rsidR="003612E4">
          <w:rPr>
            <w:noProof/>
            <w:webHidden/>
          </w:rPr>
          <w:instrText xml:space="preserve"> PAGEREF _Toc9618540 \h </w:instrText>
        </w:r>
        <w:r w:rsidR="003612E4">
          <w:rPr>
            <w:noProof/>
            <w:webHidden/>
          </w:rPr>
        </w:r>
        <w:r w:rsidR="003612E4">
          <w:rPr>
            <w:noProof/>
            <w:webHidden/>
          </w:rPr>
          <w:fldChar w:fldCharType="separate"/>
        </w:r>
        <w:r w:rsidR="00DA6C22">
          <w:rPr>
            <w:noProof/>
            <w:webHidden/>
          </w:rPr>
          <w:t>7</w:t>
        </w:r>
        <w:r w:rsidR="003612E4">
          <w:rPr>
            <w:noProof/>
            <w:webHidden/>
          </w:rPr>
          <w:fldChar w:fldCharType="end"/>
        </w:r>
      </w:hyperlink>
    </w:p>
    <w:p w14:paraId="27FA69CE" w14:textId="0389B3E1"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41" w:history="1">
        <w:r w:rsidR="003612E4" w:rsidRPr="00E61DF4">
          <w:rPr>
            <w:rStyle w:val="Hyperlink"/>
            <w:noProof/>
          </w:rPr>
          <w:t>6.1</w:t>
        </w:r>
        <w:r w:rsidR="003612E4">
          <w:rPr>
            <w:rFonts w:asciiTheme="minorHAnsi" w:eastAsiaTheme="minorEastAsia" w:hAnsiTheme="minorHAnsi" w:cstheme="minorBidi"/>
            <w:smallCaps w:val="0"/>
            <w:noProof/>
            <w:sz w:val="22"/>
            <w:szCs w:val="22"/>
          </w:rPr>
          <w:tab/>
        </w:r>
        <w:r w:rsidR="003612E4" w:rsidRPr="00E61DF4">
          <w:rPr>
            <w:rStyle w:val="Hyperlink"/>
            <w:noProof/>
          </w:rPr>
          <w:t>Customer Service</w:t>
        </w:r>
        <w:r w:rsidR="003612E4">
          <w:rPr>
            <w:noProof/>
            <w:webHidden/>
          </w:rPr>
          <w:tab/>
        </w:r>
        <w:r w:rsidR="003612E4">
          <w:rPr>
            <w:noProof/>
            <w:webHidden/>
          </w:rPr>
          <w:fldChar w:fldCharType="begin"/>
        </w:r>
        <w:r w:rsidR="003612E4">
          <w:rPr>
            <w:noProof/>
            <w:webHidden/>
          </w:rPr>
          <w:instrText xml:space="preserve"> PAGEREF _Toc9618541 \h </w:instrText>
        </w:r>
        <w:r w:rsidR="003612E4">
          <w:rPr>
            <w:noProof/>
            <w:webHidden/>
          </w:rPr>
        </w:r>
        <w:r w:rsidR="003612E4">
          <w:rPr>
            <w:noProof/>
            <w:webHidden/>
          </w:rPr>
          <w:fldChar w:fldCharType="separate"/>
        </w:r>
        <w:r w:rsidR="00DA6C22">
          <w:rPr>
            <w:noProof/>
            <w:webHidden/>
          </w:rPr>
          <w:t>7</w:t>
        </w:r>
        <w:r w:rsidR="003612E4">
          <w:rPr>
            <w:noProof/>
            <w:webHidden/>
          </w:rPr>
          <w:fldChar w:fldCharType="end"/>
        </w:r>
      </w:hyperlink>
    </w:p>
    <w:p w14:paraId="4CB9D129" w14:textId="5D5D4B09"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42" w:history="1">
        <w:r w:rsidR="003612E4" w:rsidRPr="00E61DF4">
          <w:rPr>
            <w:rStyle w:val="Hyperlink"/>
            <w:noProof/>
          </w:rPr>
          <w:t>6.2</w:t>
        </w:r>
        <w:r w:rsidR="003612E4">
          <w:rPr>
            <w:rFonts w:asciiTheme="minorHAnsi" w:eastAsiaTheme="minorEastAsia" w:hAnsiTheme="minorHAnsi" w:cstheme="minorBidi"/>
            <w:smallCaps w:val="0"/>
            <w:noProof/>
            <w:sz w:val="22"/>
            <w:szCs w:val="22"/>
          </w:rPr>
          <w:tab/>
        </w:r>
        <w:r w:rsidR="003612E4" w:rsidRPr="00E61DF4">
          <w:rPr>
            <w:rStyle w:val="Hyperlink"/>
            <w:noProof/>
          </w:rPr>
          <w:t>How to File a Claim</w:t>
        </w:r>
        <w:r w:rsidR="003612E4">
          <w:rPr>
            <w:noProof/>
            <w:webHidden/>
          </w:rPr>
          <w:tab/>
        </w:r>
        <w:r w:rsidR="003612E4">
          <w:rPr>
            <w:noProof/>
            <w:webHidden/>
          </w:rPr>
          <w:fldChar w:fldCharType="begin"/>
        </w:r>
        <w:r w:rsidR="003612E4">
          <w:rPr>
            <w:noProof/>
            <w:webHidden/>
          </w:rPr>
          <w:instrText xml:space="preserve"> PAGEREF _Toc9618542 \h </w:instrText>
        </w:r>
        <w:r w:rsidR="003612E4">
          <w:rPr>
            <w:noProof/>
            <w:webHidden/>
          </w:rPr>
        </w:r>
        <w:r w:rsidR="003612E4">
          <w:rPr>
            <w:noProof/>
            <w:webHidden/>
          </w:rPr>
          <w:fldChar w:fldCharType="separate"/>
        </w:r>
        <w:r w:rsidR="00DA6C22">
          <w:rPr>
            <w:noProof/>
            <w:webHidden/>
          </w:rPr>
          <w:t>8</w:t>
        </w:r>
        <w:r w:rsidR="003612E4">
          <w:rPr>
            <w:noProof/>
            <w:webHidden/>
          </w:rPr>
          <w:fldChar w:fldCharType="end"/>
        </w:r>
      </w:hyperlink>
    </w:p>
    <w:p w14:paraId="0F99FD1F" w14:textId="334CD597"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43" w:history="1">
        <w:r w:rsidR="003612E4" w:rsidRPr="00E61DF4">
          <w:rPr>
            <w:rStyle w:val="Hyperlink"/>
            <w:noProof/>
          </w:rPr>
          <w:t>6.3</w:t>
        </w:r>
        <w:r w:rsidR="003612E4">
          <w:rPr>
            <w:rFonts w:asciiTheme="minorHAnsi" w:eastAsiaTheme="minorEastAsia" w:hAnsiTheme="minorHAnsi" w:cstheme="minorBidi"/>
            <w:smallCaps w:val="0"/>
            <w:noProof/>
            <w:sz w:val="22"/>
            <w:szCs w:val="22"/>
          </w:rPr>
          <w:tab/>
        </w:r>
        <w:r w:rsidR="003612E4" w:rsidRPr="00E61DF4">
          <w:rPr>
            <w:rStyle w:val="Hyperlink"/>
            <w:noProof/>
          </w:rPr>
          <w:t>Translation of Claims</w:t>
        </w:r>
        <w:r w:rsidR="003612E4">
          <w:rPr>
            <w:noProof/>
            <w:webHidden/>
          </w:rPr>
          <w:tab/>
        </w:r>
        <w:r w:rsidR="003612E4">
          <w:rPr>
            <w:noProof/>
            <w:webHidden/>
          </w:rPr>
          <w:fldChar w:fldCharType="begin"/>
        </w:r>
        <w:r w:rsidR="003612E4">
          <w:rPr>
            <w:noProof/>
            <w:webHidden/>
          </w:rPr>
          <w:instrText xml:space="preserve"> PAGEREF _Toc9618543 \h </w:instrText>
        </w:r>
        <w:r w:rsidR="003612E4">
          <w:rPr>
            <w:noProof/>
            <w:webHidden/>
          </w:rPr>
        </w:r>
        <w:r w:rsidR="003612E4">
          <w:rPr>
            <w:noProof/>
            <w:webHidden/>
          </w:rPr>
          <w:fldChar w:fldCharType="separate"/>
        </w:r>
        <w:r w:rsidR="00DA6C22">
          <w:rPr>
            <w:noProof/>
            <w:webHidden/>
          </w:rPr>
          <w:t>8</w:t>
        </w:r>
        <w:r w:rsidR="003612E4">
          <w:rPr>
            <w:noProof/>
            <w:webHidden/>
          </w:rPr>
          <w:fldChar w:fldCharType="end"/>
        </w:r>
      </w:hyperlink>
    </w:p>
    <w:p w14:paraId="21903EF8" w14:textId="22799E5A"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44" w:history="1">
        <w:r w:rsidR="003612E4" w:rsidRPr="00E61DF4">
          <w:rPr>
            <w:rStyle w:val="Hyperlink"/>
            <w:noProof/>
          </w:rPr>
          <w:t>6.4</w:t>
        </w:r>
        <w:r w:rsidR="003612E4">
          <w:rPr>
            <w:rFonts w:asciiTheme="minorHAnsi" w:eastAsiaTheme="minorEastAsia" w:hAnsiTheme="minorHAnsi" w:cstheme="minorBidi"/>
            <w:smallCaps w:val="0"/>
            <w:noProof/>
            <w:sz w:val="22"/>
            <w:szCs w:val="22"/>
          </w:rPr>
          <w:tab/>
        </w:r>
        <w:r w:rsidR="003612E4" w:rsidRPr="00E61DF4">
          <w:rPr>
            <w:rStyle w:val="Hyperlink"/>
            <w:noProof/>
          </w:rPr>
          <w:t>Claims Adjudication</w:t>
        </w:r>
        <w:r w:rsidR="003612E4">
          <w:rPr>
            <w:noProof/>
            <w:webHidden/>
          </w:rPr>
          <w:tab/>
        </w:r>
        <w:r w:rsidR="003612E4">
          <w:rPr>
            <w:noProof/>
            <w:webHidden/>
          </w:rPr>
          <w:fldChar w:fldCharType="begin"/>
        </w:r>
        <w:r w:rsidR="003612E4">
          <w:rPr>
            <w:noProof/>
            <w:webHidden/>
          </w:rPr>
          <w:instrText xml:space="preserve"> PAGEREF _Toc9618544 \h </w:instrText>
        </w:r>
        <w:r w:rsidR="003612E4">
          <w:rPr>
            <w:noProof/>
            <w:webHidden/>
          </w:rPr>
        </w:r>
        <w:r w:rsidR="003612E4">
          <w:rPr>
            <w:noProof/>
            <w:webHidden/>
          </w:rPr>
          <w:fldChar w:fldCharType="separate"/>
        </w:r>
        <w:r w:rsidR="00DA6C22">
          <w:rPr>
            <w:noProof/>
            <w:webHidden/>
          </w:rPr>
          <w:t>8</w:t>
        </w:r>
        <w:r w:rsidR="003612E4">
          <w:rPr>
            <w:noProof/>
            <w:webHidden/>
          </w:rPr>
          <w:fldChar w:fldCharType="end"/>
        </w:r>
      </w:hyperlink>
    </w:p>
    <w:p w14:paraId="35CC661E" w14:textId="17E1D93B"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45" w:history="1">
        <w:r w:rsidR="003612E4" w:rsidRPr="00E61DF4">
          <w:rPr>
            <w:rStyle w:val="Hyperlink"/>
            <w:noProof/>
          </w:rPr>
          <w:t>6.4.1</w:t>
        </w:r>
        <w:r w:rsidR="003612E4">
          <w:rPr>
            <w:rFonts w:asciiTheme="minorHAnsi" w:eastAsiaTheme="minorEastAsia" w:hAnsiTheme="minorHAnsi" w:cstheme="minorBidi"/>
            <w:i w:val="0"/>
            <w:iCs w:val="0"/>
            <w:noProof/>
            <w:sz w:val="22"/>
            <w:szCs w:val="22"/>
          </w:rPr>
          <w:tab/>
        </w:r>
        <w:r w:rsidR="003612E4" w:rsidRPr="00E61DF4">
          <w:rPr>
            <w:rStyle w:val="Hyperlink"/>
            <w:noProof/>
          </w:rPr>
          <w:t>Fiduciary Responsibility</w:t>
        </w:r>
        <w:r w:rsidR="003612E4">
          <w:rPr>
            <w:noProof/>
            <w:webHidden/>
          </w:rPr>
          <w:tab/>
        </w:r>
        <w:r w:rsidR="003612E4">
          <w:rPr>
            <w:noProof/>
            <w:webHidden/>
          </w:rPr>
          <w:fldChar w:fldCharType="begin"/>
        </w:r>
        <w:r w:rsidR="003612E4">
          <w:rPr>
            <w:noProof/>
            <w:webHidden/>
          </w:rPr>
          <w:instrText xml:space="preserve"> PAGEREF _Toc9618545 \h </w:instrText>
        </w:r>
        <w:r w:rsidR="003612E4">
          <w:rPr>
            <w:noProof/>
            <w:webHidden/>
          </w:rPr>
        </w:r>
        <w:r w:rsidR="003612E4">
          <w:rPr>
            <w:noProof/>
            <w:webHidden/>
          </w:rPr>
          <w:fldChar w:fldCharType="separate"/>
        </w:r>
        <w:r w:rsidR="00DA6C22">
          <w:rPr>
            <w:noProof/>
            <w:webHidden/>
          </w:rPr>
          <w:t>8</w:t>
        </w:r>
        <w:r w:rsidR="003612E4">
          <w:rPr>
            <w:noProof/>
            <w:webHidden/>
          </w:rPr>
          <w:fldChar w:fldCharType="end"/>
        </w:r>
      </w:hyperlink>
    </w:p>
    <w:p w14:paraId="7D76654F" w14:textId="0B770342"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46" w:history="1">
        <w:r w:rsidR="003612E4" w:rsidRPr="00E61DF4">
          <w:rPr>
            <w:rStyle w:val="Hyperlink"/>
            <w:noProof/>
          </w:rPr>
          <w:t>6.4.2</w:t>
        </w:r>
        <w:r w:rsidR="003612E4">
          <w:rPr>
            <w:rFonts w:asciiTheme="minorHAnsi" w:eastAsiaTheme="minorEastAsia" w:hAnsiTheme="minorHAnsi" w:cstheme="minorBidi"/>
            <w:i w:val="0"/>
            <w:iCs w:val="0"/>
            <w:noProof/>
            <w:sz w:val="22"/>
            <w:szCs w:val="22"/>
          </w:rPr>
          <w:tab/>
        </w:r>
        <w:r w:rsidR="003612E4" w:rsidRPr="00E61DF4">
          <w:rPr>
            <w:rStyle w:val="Hyperlink"/>
            <w:noProof/>
          </w:rPr>
          <w:t>Medical Necessity</w:t>
        </w:r>
        <w:r w:rsidR="003612E4">
          <w:rPr>
            <w:noProof/>
            <w:webHidden/>
          </w:rPr>
          <w:tab/>
        </w:r>
        <w:r w:rsidR="003612E4">
          <w:rPr>
            <w:noProof/>
            <w:webHidden/>
          </w:rPr>
          <w:fldChar w:fldCharType="begin"/>
        </w:r>
        <w:r w:rsidR="003612E4">
          <w:rPr>
            <w:noProof/>
            <w:webHidden/>
          </w:rPr>
          <w:instrText xml:space="preserve"> PAGEREF _Toc9618546 \h </w:instrText>
        </w:r>
        <w:r w:rsidR="003612E4">
          <w:rPr>
            <w:noProof/>
            <w:webHidden/>
          </w:rPr>
        </w:r>
        <w:r w:rsidR="003612E4">
          <w:rPr>
            <w:noProof/>
            <w:webHidden/>
          </w:rPr>
          <w:fldChar w:fldCharType="separate"/>
        </w:r>
        <w:r w:rsidR="00DA6C22">
          <w:rPr>
            <w:noProof/>
            <w:webHidden/>
          </w:rPr>
          <w:t>8</w:t>
        </w:r>
        <w:r w:rsidR="003612E4">
          <w:rPr>
            <w:noProof/>
            <w:webHidden/>
          </w:rPr>
          <w:fldChar w:fldCharType="end"/>
        </w:r>
      </w:hyperlink>
    </w:p>
    <w:p w14:paraId="421994CA" w14:textId="658B1F26"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47" w:history="1">
        <w:r w:rsidR="003612E4" w:rsidRPr="00E61DF4">
          <w:rPr>
            <w:rStyle w:val="Hyperlink"/>
            <w:noProof/>
          </w:rPr>
          <w:t>6.5</w:t>
        </w:r>
        <w:r w:rsidR="003612E4">
          <w:rPr>
            <w:rFonts w:asciiTheme="minorHAnsi" w:eastAsiaTheme="minorEastAsia" w:hAnsiTheme="minorHAnsi" w:cstheme="minorBidi"/>
            <w:smallCaps w:val="0"/>
            <w:noProof/>
            <w:sz w:val="22"/>
            <w:szCs w:val="22"/>
          </w:rPr>
          <w:tab/>
        </w:r>
        <w:r w:rsidR="003612E4" w:rsidRPr="00E61DF4">
          <w:rPr>
            <w:rStyle w:val="Hyperlink"/>
            <w:noProof/>
          </w:rPr>
          <w:t>Claims Reimbursement</w:t>
        </w:r>
        <w:r w:rsidR="003612E4">
          <w:rPr>
            <w:noProof/>
            <w:webHidden/>
          </w:rPr>
          <w:tab/>
        </w:r>
        <w:r w:rsidR="003612E4">
          <w:rPr>
            <w:noProof/>
            <w:webHidden/>
          </w:rPr>
          <w:fldChar w:fldCharType="begin"/>
        </w:r>
        <w:r w:rsidR="003612E4">
          <w:rPr>
            <w:noProof/>
            <w:webHidden/>
          </w:rPr>
          <w:instrText xml:space="preserve"> PAGEREF _Toc9618547 \h </w:instrText>
        </w:r>
        <w:r w:rsidR="003612E4">
          <w:rPr>
            <w:noProof/>
            <w:webHidden/>
          </w:rPr>
        </w:r>
        <w:r w:rsidR="003612E4">
          <w:rPr>
            <w:noProof/>
            <w:webHidden/>
          </w:rPr>
          <w:fldChar w:fldCharType="separate"/>
        </w:r>
        <w:r w:rsidR="00DA6C22">
          <w:rPr>
            <w:noProof/>
            <w:webHidden/>
          </w:rPr>
          <w:t>9</w:t>
        </w:r>
        <w:r w:rsidR="003612E4">
          <w:rPr>
            <w:noProof/>
            <w:webHidden/>
          </w:rPr>
          <w:fldChar w:fldCharType="end"/>
        </w:r>
      </w:hyperlink>
    </w:p>
    <w:p w14:paraId="6A6DE46B" w14:textId="46BE7248"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48" w:history="1">
        <w:r w:rsidR="003612E4" w:rsidRPr="00E61DF4">
          <w:rPr>
            <w:rStyle w:val="Hyperlink"/>
            <w:noProof/>
          </w:rPr>
          <w:t>6.5.1</w:t>
        </w:r>
        <w:r w:rsidR="003612E4">
          <w:rPr>
            <w:rFonts w:asciiTheme="minorHAnsi" w:eastAsiaTheme="minorEastAsia" w:hAnsiTheme="minorHAnsi" w:cstheme="minorBidi"/>
            <w:i w:val="0"/>
            <w:iCs w:val="0"/>
            <w:noProof/>
            <w:sz w:val="22"/>
            <w:szCs w:val="22"/>
          </w:rPr>
          <w:tab/>
        </w:r>
        <w:r w:rsidR="003612E4" w:rsidRPr="00E61DF4">
          <w:rPr>
            <w:rStyle w:val="Hyperlink"/>
            <w:noProof/>
          </w:rPr>
          <w:t>Claim Processing Service Standard</w:t>
        </w:r>
        <w:r w:rsidR="003612E4">
          <w:rPr>
            <w:noProof/>
            <w:webHidden/>
          </w:rPr>
          <w:tab/>
        </w:r>
        <w:r w:rsidR="003612E4">
          <w:rPr>
            <w:noProof/>
            <w:webHidden/>
          </w:rPr>
          <w:fldChar w:fldCharType="begin"/>
        </w:r>
        <w:r w:rsidR="003612E4">
          <w:rPr>
            <w:noProof/>
            <w:webHidden/>
          </w:rPr>
          <w:instrText xml:space="preserve"> PAGEREF _Toc9618548 \h </w:instrText>
        </w:r>
        <w:r w:rsidR="003612E4">
          <w:rPr>
            <w:noProof/>
            <w:webHidden/>
          </w:rPr>
        </w:r>
        <w:r w:rsidR="003612E4">
          <w:rPr>
            <w:noProof/>
            <w:webHidden/>
          </w:rPr>
          <w:fldChar w:fldCharType="separate"/>
        </w:r>
        <w:r w:rsidR="00DA6C22">
          <w:rPr>
            <w:noProof/>
            <w:webHidden/>
          </w:rPr>
          <w:t>9</w:t>
        </w:r>
        <w:r w:rsidR="003612E4">
          <w:rPr>
            <w:noProof/>
            <w:webHidden/>
          </w:rPr>
          <w:fldChar w:fldCharType="end"/>
        </w:r>
      </w:hyperlink>
    </w:p>
    <w:p w14:paraId="14E0D150" w14:textId="26C9D70A"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49" w:history="1">
        <w:r w:rsidR="003612E4" w:rsidRPr="00E61DF4">
          <w:rPr>
            <w:rStyle w:val="Hyperlink"/>
            <w:noProof/>
          </w:rPr>
          <w:t>6.5.2</w:t>
        </w:r>
        <w:r w:rsidR="003612E4">
          <w:rPr>
            <w:rFonts w:asciiTheme="minorHAnsi" w:eastAsiaTheme="minorEastAsia" w:hAnsiTheme="minorHAnsi" w:cstheme="minorBidi"/>
            <w:i w:val="0"/>
            <w:iCs w:val="0"/>
            <w:noProof/>
            <w:sz w:val="22"/>
            <w:szCs w:val="22"/>
          </w:rPr>
          <w:tab/>
        </w:r>
        <w:r w:rsidR="003612E4" w:rsidRPr="00E61DF4">
          <w:rPr>
            <w:rStyle w:val="Hyperlink"/>
            <w:noProof/>
          </w:rPr>
          <w:t>Usual and Customary Charges</w:t>
        </w:r>
        <w:r w:rsidR="003612E4">
          <w:rPr>
            <w:noProof/>
            <w:webHidden/>
          </w:rPr>
          <w:tab/>
        </w:r>
        <w:r w:rsidR="003612E4">
          <w:rPr>
            <w:noProof/>
            <w:webHidden/>
          </w:rPr>
          <w:fldChar w:fldCharType="begin"/>
        </w:r>
        <w:r w:rsidR="003612E4">
          <w:rPr>
            <w:noProof/>
            <w:webHidden/>
          </w:rPr>
          <w:instrText xml:space="preserve"> PAGEREF _Toc9618549 \h </w:instrText>
        </w:r>
        <w:r w:rsidR="003612E4">
          <w:rPr>
            <w:noProof/>
            <w:webHidden/>
          </w:rPr>
        </w:r>
        <w:r w:rsidR="003612E4">
          <w:rPr>
            <w:noProof/>
            <w:webHidden/>
          </w:rPr>
          <w:fldChar w:fldCharType="separate"/>
        </w:r>
        <w:r w:rsidR="00DA6C22">
          <w:rPr>
            <w:noProof/>
            <w:webHidden/>
          </w:rPr>
          <w:t>9</w:t>
        </w:r>
        <w:r w:rsidR="003612E4">
          <w:rPr>
            <w:noProof/>
            <w:webHidden/>
          </w:rPr>
          <w:fldChar w:fldCharType="end"/>
        </w:r>
      </w:hyperlink>
    </w:p>
    <w:p w14:paraId="0FCAA7E2" w14:textId="6C341783"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50" w:history="1">
        <w:r w:rsidR="003612E4" w:rsidRPr="00E61DF4">
          <w:rPr>
            <w:rStyle w:val="Hyperlink"/>
            <w:noProof/>
          </w:rPr>
          <w:t>6.5.3</w:t>
        </w:r>
        <w:r w:rsidR="003612E4">
          <w:rPr>
            <w:rFonts w:asciiTheme="minorHAnsi" w:eastAsiaTheme="minorEastAsia" w:hAnsiTheme="minorHAnsi" w:cstheme="minorBidi"/>
            <w:i w:val="0"/>
            <w:iCs w:val="0"/>
            <w:noProof/>
            <w:sz w:val="22"/>
            <w:szCs w:val="22"/>
          </w:rPr>
          <w:tab/>
        </w:r>
        <w:r w:rsidR="003612E4" w:rsidRPr="00E61DF4">
          <w:rPr>
            <w:rStyle w:val="Hyperlink"/>
            <w:noProof/>
          </w:rPr>
          <w:t>Payment Option: Electronic Funds Transfer v. Paper Check</w:t>
        </w:r>
        <w:r w:rsidR="003612E4">
          <w:rPr>
            <w:noProof/>
            <w:webHidden/>
          </w:rPr>
          <w:tab/>
        </w:r>
        <w:r w:rsidR="003612E4">
          <w:rPr>
            <w:noProof/>
            <w:webHidden/>
          </w:rPr>
          <w:fldChar w:fldCharType="begin"/>
        </w:r>
        <w:r w:rsidR="003612E4">
          <w:rPr>
            <w:noProof/>
            <w:webHidden/>
          </w:rPr>
          <w:instrText xml:space="preserve"> PAGEREF _Toc9618550 \h </w:instrText>
        </w:r>
        <w:r w:rsidR="003612E4">
          <w:rPr>
            <w:noProof/>
            <w:webHidden/>
          </w:rPr>
        </w:r>
        <w:r w:rsidR="003612E4">
          <w:rPr>
            <w:noProof/>
            <w:webHidden/>
          </w:rPr>
          <w:fldChar w:fldCharType="separate"/>
        </w:r>
        <w:r w:rsidR="00DA6C22">
          <w:rPr>
            <w:noProof/>
            <w:webHidden/>
          </w:rPr>
          <w:t>9</w:t>
        </w:r>
        <w:r w:rsidR="003612E4">
          <w:rPr>
            <w:noProof/>
            <w:webHidden/>
          </w:rPr>
          <w:fldChar w:fldCharType="end"/>
        </w:r>
      </w:hyperlink>
    </w:p>
    <w:p w14:paraId="6C9736F5" w14:textId="611D45DF"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51" w:history="1">
        <w:r w:rsidR="003612E4" w:rsidRPr="00E61DF4">
          <w:rPr>
            <w:rStyle w:val="Hyperlink"/>
            <w:noProof/>
          </w:rPr>
          <w:t>6.5.4</w:t>
        </w:r>
        <w:r w:rsidR="003612E4">
          <w:rPr>
            <w:rFonts w:asciiTheme="minorHAnsi" w:eastAsiaTheme="minorEastAsia" w:hAnsiTheme="minorHAnsi" w:cstheme="minorBidi"/>
            <w:i w:val="0"/>
            <w:iCs w:val="0"/>
            <w:noProof/>
            <w:sz w:val="22"/>
            <w:szCs w:val="22"/>
          </w:rPr>
          <w:tab/>
        </w:r>
        <w:r w:rsidR="003612E4" w:rsidRPr="00E61DF4">
          <w:rPr>
            <w:rStyle w:val="Hyperlink"/>
            <w:noProof/>
          </w:rPr>
          <w:t>Currency of Reimbursement</w:t>
        </w:r>
        <w:r w:rsidR="003612E4">
          <w:rPr>
            <w:noProof/>
            <w:webHidden/>
          </w:rPr>
          <w:tab/>
        </w:r>
        <w:r w:rsidR="003612E4">
          <w:rPr>
            <w:noProof/>
            <w:webHidden/>
          </w:rPr>
          <w:fldChar w:fldCharType="begin"/>
        </w:r>
        <w:r w:rsidR="003612E4">
          <w:rPr>
            <w:noProof/>
            <w:webHidden/>
          </w:rPr>
          <w:instrText xml:space="preserve"> PAGEREF _Toc9618551 \h </w:instrText>
        </w:r>
        <w:r w:rsidR="003612E4">
          <w:rPr>
            <w:noProof/>
            <w:webHidden/>
          </w:rPr>
        </w:r>
        <w:r w:rsidR="003612E4">
          <w:rPr>
            <w:noProof/>
            <w:webHidden/>
          </w:rPr>
          <w:fldChar w:fldCharType="separate"/>
        </w:r>
        <w:r w:rsidR="00DA6C22">
          <w:rPr>
            <w:noProof/>
            <w:webHidden/>
          </w:rPr>
          <w:t>9</w:t>
        </w:r>
        <w:r w:rsidR="003612E4">
          <w:rPr>
            <w:noProof/>
            <w:webHidden/>
          </w:rPr>
          <w:fldChar w:fldCharType="end"/>
        </w:r>
      </w:hyperlink>
    </w:p>
    <w:p w14:paraId="00243524" w14:textId="30EEF322"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52" w:history="1">
        <w:r w:rsidR="003612E4" w:rsidRPr="00E61DF4">
          <w:rPr>
            <w:rStyle w:val="Hyperlink"/>
            <w:noProof/>
          </w:rPr>
          <w:t>6.5.5</w:t>
        </w:r>
        <w:r w:rsidR="003612E4">
          <w:rPr>
            <w:rFonts w:asciiTheme="minorHAnsi" w:eastAsiaTheme="minorEastAsia" w:hAnsiTheme="minorHAnsi" w:cstheme="minorBidi"/>
            <w:i w:val="0"/>
            <w:iCs w:val="0"/>
            <w:noProof/>
            <w:sz w:val="22"/>
            <w:szCs w:val="22"/>
          </w:rPr>
          <w:tab/>
        </w:r>
        <w:r w:rsidR="003612E4" w:rsidRPr="00E61DF4">
          <w:rPr>
            <w:rStyle w:val="Hyperlink"/>
            <w:noProof/>
          </w:rPr>
          <w:t>Explanation of Benefits</w:t>
        </w:r>
        <w:r w:rsidR="003612E4">
          <w:rPr>
            <w:noProof/>
            <w:webHidden/>
          </w:rPr>
          <w:tab/>
        </w:r>
        <w:r w:rsidR="003612E4">
          <w:rPr>
            <w:noProof/>
            <w:webHidden/>
          </w:rPr>
          <w:fldChar w:fldCharType="begin"/>
        </w:r>
        <w:r w:rsidR="003612E4">
          <w:rPr>
            <w:noProof/>
            <w:webHidden/>
          </w:rPr>
          <w:instrText xml:space="preserve"> PAGEREF _Toc9618552 \h </w:instrText>
        </w:r>
        <w:r w:rsidR="003612E4">
          <w:rPr>
            <w:noProof/>
            <w:webHidden/>
          </w:rPr>
        </w:r>
        <w:r w:rsidR="003612E4">
          <w:rPr>
            <w:noProof/>
            <w:webHidden/>
          </w:rPr>
          <w:fldChar w:fldCharType="separate"/>
        </w:r>
        <w:r w:rsidR="00DA6C22">
          <w:rPr>
            <w:noProof/>
            <w:webHidden/>
          </w:rPr>
          <w:t>10</w:t>
        </w:r>
        <w:r w:rsidR="003612E4">
          <w:rPr>
            <w:noProof/>
            <w:webHidden/>
          </w:rPr>
          <w:fldChar w:fldCharType="end"/>
        </w:r>
      </w:hyperlink>
    </w:p>
    <w:p w14:paraId="08175B5B" w14:textId="3CF339B0" w:rsidR="003612E4" w:rsidRDefault="004056D4">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9618553" w:history="1">
        <w:r w:rsidR="003612E4" w:rsidRPr="00E61DF4">
          <w:rPr>
            <w:rStyle w:val="Hyperlink"/>
            <w:noProof/>
          </w:rPr>
          <w:t>6.5.6</w:t>
        </w:r>
        <w:r w:rsidR="003612E4">
          <w:rPr>
            <w:rFonts w:asciiTheme="minorHAnsi" w:eastAsiaTheme="minorEastAsia" w:hAnsiTheme="minorHAnsi" w:cstheme="minorBidi"/>
            <w:i w:val="0"/>
            <w:iCs w:val="0"/>
            <w:noProof/>
            <w:sz w:val="22"/>
            <w:szCs w:val="22"/>
          </w:rPr>
          <w:tab/>
        </w:r>
        <w:r w:rsidR="003612E4" w:rsidRPr="00E61DF4">
          <w:rPr>
            <w:rStyle w:val="Hyperlink"/>
            <w:noProof/>
          </w:rPr>
          <w:t>Mailing Address</w:t>
        </w:r>
        <w:r w:rsidR="003612E4">
          <w:rPr>
            <w:noProof/>
            <w:webHidden/>
          </w:rPr>
          <w:tab/>
        </w:r>
        <w:r w:rsidR="003612E4">
          <w:rPr>
            <w:noProof/>
            <w:webHidden/>
          </w:rPr>
          <w:fldChar w:fldCharType="begin"/>
        </w:r>
        <w:r w:rsidR="003612E4">
          <w:rPr>
            <w:noProof/>
            <w:webHidden/>
          </w:rPr>
          <w:instrText xml:space="preserve"> PAGEREF _Toc9618553 \h </w:instrText>
        </w:r>
        <w:r w:rsidR="003612E4">
          <w:rPr>
            <w:noProof/>
            <w:webHidden/>
          </w:rPr>
        </w:r>
        <w:r w:rsidR="003612E4">
          <w:rPr>
            <w:noProof/>
            <w:webHidden/>
          </w:rPr>
          <w:fldChar w:fldCharType="separate"/>
        </w:r>
        <w:r w:rsidR="00DA6C22">
          <w:rPr>
            <w:noProof/>
            <w:webHidden/>
          </w:rPr>
          <w:t>10</w:t>
        </w:r>
        <w:r w:rsidR="003612E4">
          <w:rPr>
            <w:noProof/>
            <w:webHidden/>
          </w:rPr>
          <w:fldChar w:fldCharType="end"/>
        </w:r>
      </w:hyperlink>
    </w:p>
    <w:p w14:paraId="03186B29" w14:textId="3E01390F"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54" w:history="1">
        <w:r w:rsidR="003612E4" w:rsidRPr="00E61DF4">
          <w:rPr>
            <w:rStyle w:val="Hyperlink"/>
            <w:noProof/>
          </w:rPr>
          <w:t>6.6</w:t>
        </w:r>
        <w:r w:rsidR="003612E4">
          <w:rPr>
            <w:rFonts w:asciiTheme="minorHAnsi" w:eastAsiaTheme="minorEastAsia" w:hAnsiTheme="minorHAnsi" w:cstheme="minorBidi"/>
            <w:smallCaps w:val="0"/>
            <w:noProof/>
            <w:sz w:val="22"/>
            <w:szCs w:val="22"/>
          </w:rPr>
          <w:tab/>
        </w:r>
        <w:r w:rsidR="003612E4" w:rsidRPr="00E61DF4">
          <w:rPr>
            <w:rStyle w:val="Hyperlink"/>
            <w:noProof/>
          </w:rPr>
          <w:t>Disputed Claims and Appeals Process</w:t>
        </w:r>
        <w:r w:rsidR="003612E4">
          <w:rPr>
            <w:noProof/>
            <w:webHidden/>
          </w:rPr>
          <w:tab/>
        </w:r>
        <w:r w:rsidR="003612E4">
          <w:rPr>
            <w:noProof/>
            <w:webHidden/>
          </w:rPr>
          <w:fldChar w:fldCharType="begin"/>
        </w:r>
        <w:r w:rsidR="003612E4">
          <w:rPr>
            <w:noProof/>
            <w:webHidden/>
          </w:rPr>
          <w:instrText xml:space="preserve"> PAGEREF _Toc9618554 \h </w:instrText>
        </w:r>
        <w:r w:rsidR="003612E4">
          <w:rPr>
            <w:noProof/>
            <w:webHidden/>
          </w:rPr>
        </w:r>
        <w:r w:rsidR="003612E4">
          <w:rPr>
            <w:noProof/>
            <w:webHidden/>
          </w:rPr>
          <w:fldChar w:fldCharType="separate"/>
        </w:r>
        <w:r w:rsidR="00DA6C22">
          <w:rPr>
            <w:noProof/>
            <w:webHidden/>
          </w:rPr>
          <w:t>10</w:t>
        </w:r>
        <w:r w:rsidR="003612E4">
          <w:rPr>
            <w:noProof/>
            <w:webHidden/>
          </w:rPr>
          <w:fldChar w:fldCharType="end"/>
        </w:r>
      </w:hyperlink>
    </w:p>
    <w:p w14:paraId="5AD3AF1E" w14:textId="4BB08EE8"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55" w:history="1">
        <w:r w:rsidR="003612E4" w:rsidRPr="00E61DF4">
          <w:rPr>
            <w:rStyle w:val="Hyperlink"/>
            <w:noProof/>
          </w:rPr>
          <w:t>6.7</w:t>
        </w:r>
        <w:r w:rsidR="003612E4">
          <w:rPr>
            <w:rFonts w:asciiTheme="minorHAnsi" w:eastAsiaTheme="minorEastAsia" w:hAnsiTheme="minorHAnsi" w:cstheme="minorBidi"/>
            <w:smallCaps w:val="0"/>
            <w:noProof/>
            <w:sz w:val="22"/>
            <w:szCs w:val="22"/>
          </w:rPr>
          <w:tab/>
        </w:r>
        <w:r w:rsidR="003612E4" w:rsidRPr="00E61DF4">
          <w:rPr>
            <w:rStyle w:val="Hyperlink"/>
            <w:noProof/>
          </w:rPr>
          <w:t>Predetermination of Benefits</w:t>
        </w:r>
        <w:r w:rsidR="003612E4">
          <w:rPr>
            <w:noProof/>
            <w:webHidden/>
          </w:rPr>
          <w:tab/>
        </w:r>
        <w:r w:rsidR="003612E4">
          <w:rPr>
            <w:noProof/>
            <w:webHidden/>
          </w:rPr>
          <w:fldChar w:fldCharType="begin"/>
        </w:r>
        <w:r w:rsidR="003612E4">
          <w:rPr>
            <w:noProof/>
            <w:webHidden/>
          </w:rPr>
          <w:instrText xml:space="preserve"> PAGEREF _Toc9618555 \h </w:instrText>
        </w:r>
        <w:r w:rsidR="003612E4">
          <w:rPr>
            <w:noProof/>
            <w:webHidden/>
          </w:rPr>
        </w:r>
        <w:r w:rsidR="003612E4">
          <w:rPr>
            <w:noProof/>
            <w:webHidden/>
          </w:rPr>
          <w:fldChar w:fldCharType="separate"/>
        </w:r>
        <w:r w:rsidR="00DA6C22">
          <w:rPr>
            <w:noProof/>
            <w:webHidden/>
          </w:rPr>
          <w:t>10</w:t>
        </w:r>
        <w:r w:rsidR="003612E4">
          <w:rPr>
            <w:noProof/>
            <w:webHidden/>
          </w:rPr>
          <w:fldChar w:fldCharType="end"/>
        </w:r>
      </w:hyperlink>
    </w:p>
    <w:p w14:paraId="05F1FB6F" w14:textId="4538FB95"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56" w:history="1">
        <w:r w:rsidR="003612E4" w:rsidRPr="00E61DF4">
          <w:rPr>
            <w:rStyle w:val="Hyperlink"/>
            <w:noProof/>
          </w:rPr>
          <w:t>7</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ELIGIBLITY CHANGES AND MIP CONTINUATION</w:t>
        </w:r>
        <w:r w:rsidR="003612E4">
          <w:rPr>
            <w:noProof/>
            <w:webHidden/>
          </w:rPr>
          <w:tab/>
        </w:r>
        <w:r w:rsidR="003612E4">
          <w:rPr>
            <w:noProof/>
            <w:webHidden/>
          </w:rPr>
          <w:fldChar w:fldCharType="begin"/>
        </w:r>
        <w:r w:rsidR="003612E4">
          <w:rPr>
            <w:noProof/>
            <w:webHidden/>
          </w:rPr>
          <w:instrText xml:space="preserve"> PAGEREF _Toc9618556 \h </w:instrText>
        </w:r>
        <w:r w:rsidR="003612E4">
          <w:rPr>
            <w:noProof/>
            <w:webHidden/>
          </w:rPr>
        </w:r>
        <w:r w:rsidR="003612E4">
          <w:rPr>
            <w:noProof/>
            <w:webHidden/>
          </w:rPr>
          <w:fldChar w:fldCharType="separate"/>
        </w:r>
        <w:r w:rsidR="00DA6C22">
          <w:rPr>
            <w:noProof/>
            <w:webHidden/>
          </w:rPr>
          <w:t>11</w:t>
        </w:r>
        <w:r w:rsidR="003612E4">
          <w:rPr>
            <w:noProof/>
            <w:webHidden/>
          </w:rPr>
          <w:fldChar w:fldCharType="end"/>
        </w:r>
      </w:hyperlink>
    </w:p>
    <w:p w14:paraId="2F477345" w14:textId="5CF8E731"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57" w:history="1">
        <w:r w:rsidR="003612E4" w:rsidRPr="00E61DF4">
          <w:rPr>
            <w:rStyle w:val="Hyperlink"/>
            <w:noProof/>
          </w:rPr>
          <w:t>7.1</w:t>
        </w:r>
        <w:r w:rsidR="003612E4">
          <w:rPr>
            <w:rFonts w:asciiTheme="minorHAnsi" w:eastAsiaTheme="minorEastAsia" w:hAnsiTheme="minorHAnsi" w:cstheme="minorBidi"/>
            <w:smallCaps w:val="0"/>
            <w:noProof/>
            <w:sz w:val="22"/>
            <w:szCs w:val="22"/>
          </w:rPr>
          <w:tab/>
        </w:r>
        <w:r w:rsidR="003612E4" w:rsidRPr="00E61DF4">
          <w:rPr>
            <w:rStyle w:val="Hyperlink"/>
            <w:noProof/>
          </w:rPr>
          <w:t>Life Events</w:t>
        </w:r>
        <w:r w:rsidR="003612E4">
          <w:rPr>
            <w:noProof/>
            <w:webHidden/>
          </w:rPr>
          <w:tab/>
        </w:r>
        <w:r w:rsidR="003612E4">
          <w:rPr>
            <w:noProof/>
            <w:webHidden/>
          </w:rPr>
          <w:fldChar w:fldCharType="begin"/>
        </w:r>
        <w:r w:rsidR="003612E4">
          <w:rPr>
            <w:noProof/>
            <w:webHidden/>
          </w:rPr>
          <w:instrText xml:space="preserve"> PAGEREF _Toc9618557 \h </w:instrText>
        </w:r>
        <w:r w:rsidR="003612E4">
          <w:rPr>
            <w:noProof/>
            <w:webHidden/>
          </w:rPr>
        </w:r>
        <w:r w:rsidR="003612E4">
          <w:rPr>
            <w:noProof/>
            <w:webHidden/>
          </w:rPr>
          <w:fldChar w:fldCharType="separate"/>
        </w:r>
        <w:r w:rsidR="00DA6C22">
          <w:rPr>
            <w:noProof/>
            <w:webHidden/>
          </w:rPr>
          <w:t>11</w:t>
        </w:r>
        <w:r w:rsidR="003612E4">
          <w:rPr>
            <w:noProof/>
            <w:webHidden/>
          </w:rPr>
          <w:fldChar w:fldCharType="end"/>
        </w:r>
      </w:hyperlink>
    </w:p>
    <w:p w14:paraId="631DDC68" w14:textId="0C40AB2D"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58" w:history="1">
        <w:r w:rsidR="003612E4" w:rsidRPr="00E61DF4">
          <w:rPr>
            <w:rStyle w:val="Hyperlink"/>
            <w:noProof/>
          </w:rPr>
          <w:t>7.2</w:t>
        </w:r>
        <w:r w:rsidR="003612E4">
          <w:rPr>
            <w:rFonts w:asciiTheme="minorHAnsi" w:eastAsiaTheme="minorEastAsia" w:hAnsiTheme="minorHAnsi" w:cstheme="minorBidi"/>
            <w:smallCaps w:val="0"/>
            <w:noProof/>
            <w:sz w:val="22"/>
            <w:szCs w:val="22"/>
          </w:rPr>
          <w:tab/>
        </w:r>
        <w:r w:rsidR="003612E4" w:rsidRPr="00E61DF4">
          <w:rPr>
            <w:rStyle w:val="Hyperlink"/>
            <w:noProof/>
          </w:rPr>
          <w:t>MIP Continuation</w:t>
        </w:r>
        <w:r w:rsidR="003612E4">
          <w:rPr>
            <w:noProof/>
            <w:webHidden/>
          </w:rPr>
          <w:tab/>
        </w:r>
        <w:r w:rsidR="003612E4">
          <w:rPr>
            <w:noProof/>
            <w:webHidden/>
          </w:rPr>
          <w:fldChar w:fldCharType="begin"/>
        </w:r>
        <w:r w:rsidR="003612E4">
          <w:rPr>
            <w:noProof/>
            <w:webHidden/>
          </w:rPr>
          <w:instrText xml:space="preserve"> PAGEREF _Toc9618558 \h </w:instrText>
        </w:r>
        <w:r w:rsidR="003612E4">
          <w:rPr>
            <w:noProof/>
            <w:webHidden/>
          </w:rPr>
        </w:r>
        <w:r w:rsidR="003612E4">
          <w:rPr>
            <w:noProof/>
            <w:webHidden/>
          </w:rPr>
          <w:fldChar w:fldCharType="separate"/>
        </w:r>
        <w:r w:rsidR="00DA6C22">
          <w:rPr>
            <w:noProof/>
            <w:webHidden/>
          </w:rPr>
          <w:t>11</w:t>
        </w:r>
        <w:r w:rsidR="003612E4">
          <w:rPr>
            <w:noProof/>
            <w:webHidden/>
          </w:rPr>
          <w:fldChar w:fldCharType="end"/>
        </w:r>
      </w:hyperlink>
    </w:p>
    <w:p w14:paraId="0B9D606B" w14:textId="45AEA455"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59" w:history="1">
        <w:r w:rsidR="003612E4" w:rsidRPr="00E61DF4">
          <w:rPr>
            <w:rStyle w:val="Hyperlink"/>
            <w:noProof/>
          </w:rPr>
          <w:t>7.3</w:t>
        </w:r>
        <w:r w:rsidR="003612E4">
          <w:rPr>
            <w:rFonts w:asciiTheme="minorHAnsi" w:eastAsiaTheme="minorEastAsia" w:hAnsiTheme="minorHAnsi" w:cstheme="minorBidi"/>
            <w:smallCaps w:val="0"/>
            <w:noProof/>
            <w:sz w:val="22"/>
            <w:szCs w:val="22"/>
          </w:rPr>
          <w:tab/>
        </w:r>
        <w:r w:rsidR="003612E4" w:rsidRPr="00E61DF4">
          <w:rPr>
            <w:rStyle w:val="Hyperlink"/>
            <w:noProof/>
          </w:rPr>
          <w:t>Conversion After MIP Continuation</w:t>
        </w:r>
        <w:r w:rsidR="003612E4">
          <w:rPr>
            <w:noProof/>
            <w:webHidden/>
          </w:rPr>
          <w:tab/>
        </w:r>
        <w:r w:rsidR="003612E4">
          <w:rPr>
            <w:noProof/>
            <w:webHidden/>
          </w:rPr>
          <w:fldChar w:fldCharType="begin"/>
        </w:r>
        <w:r w:rsidR="003612E4">
          <w:rPr>
            <w:noProof/>
            <w:webHidden/>
          </w:rPr>
          <w:instrText xml:space="preserve"> PAGEREF _Toc9618559 \h </w:instrText>
        </w:r>
        <w:r w:rsidR="003612E4">
          <w:rPr>
            <w:noProof/>
            <w:webHidden/>
          </w:rPr>
        </w:r>
        <w:r w:rsidR="003612E4">
          <w:rPr>
            <w:noProof/>
            <w:webHidden/>
          </w:rPr>
          <w:fldChar w:fldCharType="separate"/>
        </w:r>
        <w:r w:rsidR="00DA6C22">
          <w:rPr>
            <w:noProof/>
            <w:webHidden/>
          </w:rPr>
          <w:t>12</w:t>
        </w:r>
        <w:r w:rsidR="003612E4">
          <w:rPr>
            <w:noProof/>
            <w:webHidden/>
          </w:rPr>
          <w:fldChar w:fldCharType="end"/>
        </w:r>
      </w:hyperlink>
    </w:p>
    <w:p w14:paraId="2F88AC28" w14:textId="42BF3170"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60" w:history="1">
        <w:r w:rsidR="003612E4" w:rsidRPr="00E61DF4">
          <w:rPr>
            <w:rStyle w:val="Hyperlink"/>
            <w:noProof/>
          </w:rPr>
          <w:t>8</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Coordination With Aetna</w:t>
        </w:r>
        <w:r w:rsidR="003612E4">
          <w:rPr>
            <w:noProof/>
            <w:webHidden/>
          </w:rPr>
          <w:tab/>
        </w:r>
        <w:r w:rsidR="003612E4">
          <w:rPr>
            <w:noProof/>
            <w:webHidden/>
          </w:rPr>
          <w:fldChar w:fldCharType="begin"/>
        </w:r>
        <w:r w:rsidR="003612E4">
          <w:rPr>
            <w:noProof/>
            <w:webHidden/>
          </w:rPr>
          <w:instrText xml:space="preserve"> PAGEREF _Toc9618560 \h </w:instrText>
        </w:r>
        <w:r w:rsidR="003612E4">
          <w:rPr>
            <w:noProof/>
            <w:webHidden/>
          </w:rPr>
        </w:r>
        <w:r w:rsidR="003612E4">
          <w:rPr>
            <w:noProof/>
            <w:webHidden/>
          </w:rPr>
          <w:fldChar w:fldCharType="separate"/>
        </w:r>
        <w:r w:rsidR="00DA6C22">
          <w:rPr>
            <w:noProof/>
            <w:webHidden/>
          </w:rPr>
          <w:t>12</w:t>
        </w:r>
        <w:r w:rsidR="003612E4">
          <w:rPr>
            <w:noProof/>
            <w:webHidden/>
          </w:rPr>
          <w:fldChar w:fldCharType="end"/>
        </w:r>
      </w:hyperlink>
    </w:p>
    <w:p w14:paraId="294158B8" w14:textId="763BE23E"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61" w:history="1">
        <w:r w:rsidR="003612E4" w:rsidRPr="00E61DF4">
          <w:rPr>
            <w:rStyle w:val="Hyperlink"/>
            <w:noProof/>
          </w:rPr>
          <w:t>9</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National Medical Plans</w:t>
        </w:r>
        <w:r w:rsidR="003612E4">
          <w:rPr>
            <w:noProof/>
            <w:webHidden/>
          </w:rPr>
          <w:tab/>
        </w:r>
        <w:r w:rsidR="003612E4">
          <w:rPr>
            <w:noProof/>
            <w:webHidden/>
          </w:rPr>
          <w:fldChar w:fldCharType="begin"/>
        </w:r>
        <w:r w:rsidR="003612E4">
          <w:rPr>
            <w:noProof/>
            <w:webHidden/>
          </w:rPr>
          <w:instrText xml:space="preserve"> PAGEREF _Toc9618561 \h </w:instrText>
        </w:r>
        <w:r w:rsidR="003612E4">
          <w:rPr>
            <w:noProof/>
            <w:webHidden/>
          </w:rPr>
        </w:r>
        <w:r w:rsidR="003612E4">
          <w:rPr>
            <w:noProof/>
            <w:webHidden/>
          </w:rPr>
          <w:fldChar w:fldCharType="separate"/>
        </w:r>
        <w:r w:rsidR="00DA6C22">
          <w:rPr>
            <w:noProof/>
            <w:webHidden/>
          </w:rPr>
          <w:t>13</w:t>
        </w:r>
        <w:r w:rsidR="003612E4">
          <w:rPr>
            <w:noProof/>
            <w:webHidden/>
          </w:rPr>
          <w:fldChar w:fldCharType="end"/>
        </w:r>
      </w:hyperlink>
    </w:p>
    <w:p w14:paraId="4AF54AAF" w14:textId="68363B3F"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62" w:history="1">
        <w:r w:rsidR="003612E4" w:rsidRPr="00E61DF4">
          <w:rPr>
            <w:rStyle w:val="Hyperlink"/>
            <w:noProof/>
          </w:rPr>
          <w:t>10</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Switching Between Aetna and Cigna</w:t>
        </w:r>
        <w:r w:rsidR="003612E4">
          <w:rPr>
            <w:noProof/>
            <w:webHidden/>
          </w:rPr>
          <w:tab/>
        </w:r>
        <w:r w:rsidR="003612E4">
          <w:rPr>
            <w:noProof/>
            <w:webHidden/>
          </w:rPr>
          <w:fldChar w:fldCharType="begin"/>
        </w:r>
        <w:r w:rsidR="003612E4">
          <w:rPr>
            <w:noProof/>
            <w:webHidden/>
          </w:rPr>
          <w:instrText xml:space="preserve"> PAGEREF _Toc9618562 \h </w:instrText>
        </w:r>
        <w:r w:rsidR="003612E4">
          <w:rPr>
            <w:noProof/>
            <w:webHidden/>
          </w:rPr>
        </w:r>
        <w:r w:rsidR="003612E4">
          <w:rPr>
            <w:noProof/>
            <w:webHidden/>
          </w:rPr>
          <w:fldChar w:fldCharType="separate"/>
        </w:r>
        <w:r w:rsidR="00DA6C22">
          <w:rPr>
            <w:noProof/>
            <w:webHidden/>
          </w:rPr>
          <w:t>13</w:t>
        </w:r>
        <w:r w:rsidR="003612E4">
          <w:rPr>
            <w:noProof/>
            <w:webHidden/>
          </w:rPr>
          <w:fldChar w:fldCharType="end"/>
        </w:r>
      </w:hyperlink>
    </w:p>
    <w:p w14:paraId="3F3EEC1F" w14:textId="254C449F"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63" w:history="1">
        <w:r w:rsidR="003612E4" w:rsidRPr="00E61DF4">
          <w:rPr>
            <w:rStyle w:val="Hyperlink"/>
            <w:noProof/>
          </w:rPr>
          <w:t>10.1</w:t>
        </w:r>
        <w:r w:rsidR="003612E4">
          <w:rPr>
            <w:rFonts w:asciiTheme="minorHAnsi" w:eastAsiaTheme="minorEastAsia" w:hAnsiTheme="minorHAnsi" w:cstheme="minorBidi"/>
            <w:smallCaps w:val="0"/>
            <w:noProof/>
            <w:sz w:val="22"/>
            <w:szCs w:val="22"/>
          </w:rPr>
          <w:tab/>
        </w:r>
        <w:r w:rsidR="003612E4" w:rsidRPr="00E61DF4">
          <w:rPr>
            <w:rStyle w:val="Hyperlink"/>
            <w:noProof/>
          </w:rPr>
          <w:t>Retirees</w:t>
        </w:r>
        <w:r w:rsidR="003612E4">
          <w:rPr>
            <w:noProof/>
            <w:webHidden/>
          </w:rPr>
          <w:tab/>
        </w:r>
        <w:r w:rsidR="003612E4">
          <w:rPr>
            <w:noProof/>
            <w:webHidden/>
          </w:rPr>
          <w:fldChar w:fldCharType="begin"/>
        </w:r>
        <w:r w:rsidR="003612E4">
          <w:rPr>
            <w:noProof/>
            <w:webHidden/>
          </w:rPr>
          <w:instrText xml:space="preserve"> PAGEREF _Toc9618563 \h </w:instrText>
        </w:r>
        <w:r w:rsidR="003612E4">
          <w:rPr>
            <w:noProof/>
            <w:webHidden/>
          </w:rPr>
        </w:r>
        <w:r w:rsidR="003612E4">
          <w:rPr>
            <w:noProof/>
            <w:webHidden/>
          </w:rPr>
          <w:fldChar w:fldCharType="separate"/>
        </w:r>
        <w:r w:rsidR="00DA6C22">
          <w:rPr>
            <w:noProof/>
            <w:webHidden/>
          </w:rPr>
          <w:t>13</w:t>
        </w:r>
        <w:r w:rsidR="003612E4">
          <w:rPr>
            <w:noProof/>
            <w:webHidden/>
          </w:rPr>
          <w:fldChar w:fldCharType="end"/>
        </w:r>
      </w:hyperlink>
    </w:p>
    <w:p w14:paraId="6BF54537" w14:textId="36D0A0F4" w:rsidR="003612E4" w:rsidRDefault="004056D4">
      <w:pPr>
        <w:pStyle w:val="TOC3"/>
        <w:tabs>
          <w:tab w:val="left" w:pos="1440"/>
          <w:tab w:val="right" w:leader="dot" w:pos="8630"/>
        </w:tabs>
        <w:rPr>
          <w:rFonts w:asciiTheme="minorHAnsi" w:eastAsiaTheme="minorEastAsia" w:hAnsiTheme="minorHAnsi" w:cstheme="minorBidi"/>
          <w:i w:val="0"/>
          <w:iCs w:val="0"/>
          <w:noProof/>
          <w:sz w:val="22"/>
          <w:szCs w:val="22"/>
        </w:rPr>
      </w:pPr>
      <w:hyperlink w:anchor="_Toc9618564" w:history="1">
        <w:r w:rsidR="003612E4" w:rsidRPr="00E61DF4">
          <w:rPr>
            <w:rStyle w:val="Hyperlink"/>
            <w:noProof/>
          </w:rPr>
          <w:t>10.1.1</w:t>
        </w:r>
        <w:r w:rsidR="003612E4">
          <w:rPr>
            <w:rFonts w:asciiTheme="minorHAnsi" w:eastAsiaTheme="minorEastAsia" w:hAnsiTheme="minorHAnsi" w:cstheme="minorBidi"/>
            <w:i w:val="0"/>
            <w:iCs w:val="0"/>
            <w:noProof/>
            <w:sz w:val="22"/>
            <w:szCs w:val="22"/>
          </w:rPr>
          <w:tab/>
        </w:r>
        <w:r w:rsidR="003612E4" w:rsidRPr="00E61DF4">
          <w:rPr>
            <w:rStyle w:val="Hyperlink"/>
            <w:noProof/>
          </w:rPr>
          <w:t>General</w:t>
        </w:r>
        <w:r w:rsidR="003612E4">
          <w:rPr>
            <w:noProof/>
            <w:webHidden/>
          </w:rPr>
          <w:tab/>
        </w:r>
        <w:r w:rsidR="003612E4">
          <w:rPr>
            <w:noProof/>
            <w:webHidden/>
          </w:rPr>
          <w:fldChar w:fldCharType="begin"/>
        </w:r>
        <w:r w:rsidR="003612E4">
          <w:rPr>
            <w:noProof/>
            <w:webHidden/>
          </w:rPr>
          <w:instrText xml:space="preserve"> PAGEREF _Toc9618564 \h </w:instrText>
        </w:r>
        <w:r w:rsidR="003612E4">
          <w:rPr>
            <w:noProof/>
            <w:webHidden/>
          </w:rPr>
        </w:r>
        <w:r w:rsidR="003612E4">
          <w:rPr>
            <w:noProof/>
            <w:webHidden/>
          </w:rPr>
          <w:fldChar w:fldCharType="separate"/>
        </w:r>
        <w:r w:rsidR="00DA6C22">
          <w:rPr>
            <w:noProof/>
            <w:webHidden/>
          </w:rPr>
          <w:t>13</w:t>
        </w:r>
        <w:r w:rsidR="003612E4">
          <w:rPr>
            <w:noProof/>
            <w:webHidden/>
          </w:rPr>
          <w:fldChar w:fldCharType="end"/>
        </w:r>
      </w:hyperlink>
    </w:p>
    <w:p w14:paraId="3B6D34A9" w14:textId="406371E0" w:rsidR="003612E4" w:rsidRDefault="004056D4">
      <w:pPr>
        <w:pStyle w:val="TOC3"/>
        <w:tabs>
          <w:tab w:val="left" w:pos="1440"/>
          <w:tab w:val="right" w:leader="dot" w:pos="8630"/>
        </w:tabs>
        <w:rPr>
          <w:rFonts w:asciiTheme="minorHAnsi" w:eastAsiaTheme="minorEastAsia" w:hAnsiTheme="minorHAnsi" w:cstheme="minorBidi"/>
          <w:i w:val="0"/>
          <w:iCs w:val="0"/>
          <w:noProof/>
          <w:sz w:val="22"/>
          <w:szCs w:val="22"/>
        </w:rPr>
      </w:pPr>
      <w:hyperlink w:anchor="_Toc9618565" w:history="1">
        <w:r w:rsidR="003612E4" w:rsidRPr="00E61DF4">
          <w:rPr>
            <w:rStyle w:val="Hyperlink"/>
            <w:noProof/>
          </w:rPr>
          <w:t>10.1.2</w:t>
        </w:r>
        <w:r w:rsidR="003612E4">
          <w:rPr>
            <w:rFonts w:asciiTheme="minorHAnsi" w:eastAsiaTheme="minorEastAsia" w:hAnsiTheme="minorHAnsi" w:cstheme="minorBidi"/>
            <w:i w:val="0"/>
            <w:iCs w:val="0"/>
            <w:noProof/>
            <w:sz w:val="22"/>
            <w:szCs w:val="22"/>
          </w:rPr>
          <w:tab/>
        </w:r>
        <w:r w:rsidR="003612E4" w:rsidRPr="00E61DF4">
          <w:rPr>
            <w:rStyle w:val="Hyperlink"/>
            <w:noProof/>
          </w:rPr>
          <w:t>Active Staff Who Retire</w:t>
        </w:r>
        <w:r w:rsidR="003612E4">
          <w:rPr>
            <w:noProof/>
            <w:webHidden/>
          </w:rPr>
          <w:tab/>
        </w:r>
        <w:r w:rsidR="003612E4">
          <w:rPr>
            <w:noProof/>
            <w:webHidden/>
          </w:rPr>
          <w:fldChar w:fldCharType="begin"/>
        </w:r>
        <w:r w:rsidR="003612E4">
          <w:rPr>
            <w:noProof/>
            <w:webHidden/>
          </w:rPr>
          <w:instrText xml:space="preserve"> PAGEREF _Toc9618565 \h </w:instrText>
        </w:r>
        <w:r w:rsidR="003612E4">
          <w:rPr>
            <w:noProof/>
            <w:webHidden/>
          </w:rPr>
        </w:r>
        <w:r w:rsidR="003612E4">
          <w:rPr>
            <w:noProof/>
            <w:webHidden/>
          </w:rPr>
          <w:fldChar w:fldCharType="separate"/>
        </w:r>
        <w:r w:rsidR="00DA6C22">
          <w:rPr>
            <w:noProof/>
            <w:webHidden/>
          </w:rPr>
          <w:t>13</w:t>
        </w:r>
        <w:r w:rsidR="003612E4">
          <w:rPr>
            <w:noProof/>
            <w:webHidden/>
          </w:rPr>
          <w:fldChar w:fldCharType="end"/>
        </w:r>
      </w:hyperlink>
    </w:p>
    <w:p w14:paraId="6789FD9A" w14:textId="25A82F6A"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66" w:history="1">
        <w:r w:rsidR="003612E4" w:rsidRPr="00E61DF4">
          <w:rPr>
            <w:rStyle w:val="Hyperlink"/>
            <w:noProof/>
          </w:rPr>
          <w:t>10.2</w:t>
        </w:r>
        <w:r w:rsidR="003612E4">
          <w:rPr>
            <w:rFonts w:asciiTheme="minorHAnsi" w:eastAsiaTheme="minorEastAsia" w:hAnsiTheme="minorHAnsi" w:cstheme="minorBidi"/>
            <w:smallCaps w:val="0"/>
            <w:noProof/>
            <w:sz w:val="22"/>
            <w:szCs w:val="22"/>
          </w:rPr>
          <w:tab/>
        </w:r>
        <w:r w:rsidR="003612E4" w:rsidRPr="00E61DF4">
          <w:rPr>
            <w:rStyle w:val="Hyperlink"/>
            <w:noProof/>
          </w:rPr>
          <w:t>Active Staff</w:t>
        </w:r>
        <w:r w:rsidR="003612E4">
          <w:rPr>
            <w:noProof/>
            <w:webHidden/>
          </w:rPr>
          <w:tab/>
        </w:r>
        <w:r w:rsidR="003612E4">
          <w:rPr>
            <w:noProof/>
            <w:webHidden/>
          </w:rPr>
          <w:fldChar w:fldCharType="begin"/>
        </w:r>
        <w:r w:rsidR="003612E4">
          <w:rPr>
            <w:noProof/>
            <w:webHidden/>
          </w:rPr>
          <w:instrText xml:space="preserve"> PAGEREF _Toc9618566 \h </w:instrText>
        </w:r>
        <w:r w:rsidR="003612E4">
          <w:rPr>
            <w:noProof/>
            <w:webHidden/>
          </w:rPr>
        </w:r>
        <w:r w:rsidR="003612E4">
          <w:rPr>
            <w:noProof/>
            <w:webHidden/>
          </w:rPr>
          <w:fldChar w:fldCharType="separate"/>
        </w:r>
        <w:r w:rsidR="00DA6C22">
          <w:rPr>
            <w:noProof/>
            <w:webHidden/>
          </w:rPr>
          <w:t>13</w:t>
        </w:r>
        <w:r w:rsidR="003612E4">
          <w:rPr>
            <w:noProof/>
            <w:webHidden/>
          </w:rPr>
          <w:fldChar w:fldCharType="end"/>
        </w:r>
      </w:hyperlink>
    </w:p>
    <w:p w14:paraId="33D2DE5A" w14:textId="01F0C083" w:rsidR="003612E4" w:rsidRDefault="004056D4">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9618567" w:history="1">
        <w:r w:rsidR="003612E4" w:rsidRPr="00E61DF4">
          <w:rPr>
            <w:rStyle w:val="Hyperlink"/>
            <w:noProof/>
          </w:rPr>
          <w:t>11</w:t>
        </w:r>
        <w:r w:rsidR="003612E4">
          <w:rPr>
            <w:rFonts w:asciiTheme="minorHAnsi" w:eastAsiaTheme="minorEastAsia" w:hAnsiTheme="minorHAnsi" w:cstheme="minorBidi"/>
            <w:b w:val="0"/>
            <w:bCs w:val="0"/>
            <w:caps w:val="0"/>
            <w:noProof/>
            <w:sz w:val="22"/>
            <w:szCs w:val="22"/>
          </w:rPr>
          <w:tab/>
        </w:r>
        <w:r w:rsidR="003612E4" w:rsidRPr="00E61DF4">
          <w:rPr>
            <w:rStyle w:val="Hyperlink"/>
            <w:noProof/>
          </w:rPr>
          <w:t>Contact Information</w:t>
        </w:r>
        <w:r w:rsidR="003612E4">
          <w:rPr>
            <w:noProof/>
            <w:webHidden/>
          </w:rPr>
          <w:tab/>
        </w:r>
        <w:r w:rsidR="003612E4">
          <w:rPr>
            <w:noProof/>
            <w:webHidden/>
          </w:rPr>
          <w:fldChar w:fldCharType="begin"/>
        </w:r>
        <w:r w:rsidR="003612E4">
          <w:rPr>
            <w:noProof/>
            <w:webHidden/>
          </w:rPr>
          <w:instrText xml:space="preserve"> PAGEREF _Toc9618567 \h </w:instrText>
        </w:r>
        <w:r w:rsidR="003612E4">
          <w:rPr>
            <w:noProof/>
            <w:webHidden/>
          </w:rPr>
        </w:r>
        <w:r w:rsidR="003612E4">
          <w:rPr>
            <w:noProof/>
            <w:webHidden/>
          </w:rPr>
          <w:fldChar w:fldCharType="separate"/>
        </w:r>
        <w:r w:rsidR="00DA6C22">
          <w:rPr>
            <w:noProof/>
            <w:webHidden/>
          </w:rPr>
          <w:t>14</w:t>
        </w:r>
        <w:r w:rsidR="003612E4">
          <w:rPr>
            <w:noProof/>
            <w:webHidden/>
          </w:rPr>
          <w:fldChar w:fldCharType="end"/>
        </w:r>
      </w:hyperlink>
    </w:p>
    <w:p w14:paraId="3BA901A1" w14:textId="4701F58A"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68" w:history="1">
        <w:r w:rsidR="003612E4" w:rsidRPr="00E61DF4">
          <w:rPr>
            <w:rStyle w:val="Hyperlink"/>
            <w:noProof/>
          </w:rPr>
          <w:t>11.1</w:t>
        </w:r>
        <w:r w:rsidR="003612E4">
          <w:rPr>
            <w:rFonts w:asciiTheme="minorHAnsi" w:eastAsiaTheme="minorEastAsia" w:hAnsiTheme="minorHAnsi" w:cstheme="minorBidi"/>
            <w:smallCaps w:val="0"/>
            <w:noProof/>
            <w:sz w:val="22"/>
            <w:szCs w:val="22"/>
          </w:rPr>
          <w:tab/>
        </w:r>
        <w:r w:rsidR="003612E4" w:rsidRPr="00E61DF4">
          <w:rPr>
            <w:rStyle w:val="Hyperlink"/>
            <w:noProof/>
          </w:rPr>
          <w:t>Cigna</w:t>
        </w:r>
        <w:r w:rsidR="003612E4">
          <w:rPr>
            <w:noProof/>
            <w:webHidden/>
          </w:rPr>
          <w:tab/>
        </w:r>
        <w:r w:rsidR="003612E4">
          <w:rPr>
            <w:noProof/>
            <w:webHidden/>
          </w:rPr>
          <w:fldChar w:fldCharType="begin"/>
        </w:r>
        <w:r w:rsidR="003612E4">
          <w:rPr>
            <w:noProof/>
            <w:webHidden/>
          </w:rPr>
          <w:instrText xml:space="preserve"> PAGEREF _Toc9618568 \h </w:instrText>
        </w:r>
        <w:r w:rsidR="003612E4">
          <w:rPr>
            <w:noProof/>
            <w:webHidden/>
          </w:rPr>
        </w:r>
        <w:r w:rsidR="003612E4">
          <w:rPr>
            <w:noProof/>
            <w:webHidden/>
          </w:rPr>
          <w:fldChar w:fldCharType="separate"/>
        </w:r>
        <w:r w:rsidR="00DA6C22">
          <w:rPr>
            <w:noProof/>
            <w:webHidden/>
          </w:rPr>
          <w:t>14</w:t>
        </w:r>
        <w:r w:rsidR="003612E4">
          <w:rPr>
            <w:noProof/>
            <w:webHidden/>
          </w:rPr>
          <w:fldChar w:fldCharType="end"/>
        </w:r>
      </w:hyperlink>
    </w:p>
    <w:p w14:paraId="5DB05CA5" w14:textId="6CFC97D0"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69" w:history="1">
        <w:r w:rsidR="003612E4" w:rsidRPr="00E61DF4">
          <w:rPr>
            <w:rStyle w:val="Hyperlink"/>
            <w:noProof/>
          </w:rPr>
          <w:t>11.2</w:t>
        </w:r>
        <w:r w:rsidR="003612E4">
          <w:rPr>
            <w:rFonts w:asciiTheme="minorHAnsi" w:eastAsiaTheme="minorEastAsia" w:hAnsiTheme="minorHAnsi" w:cstheme="minorBidi"/>
            <w:smallCaps w:val="0"/>
            <w:noProof/>
            <w:sz w:val="22"/>
            <w:szCs w:val="22"/>
          </w:rPr>
          <w:tab/>
        </w:r>
        <w:r w:rsidR="003612E4" w:rsidRPr="00E61DF4">
          <w:rPr>
            <w:rStyle w:val="Hyperlink"/>
            <w:noProof/>
          </w:rPr>
          <w:t>World Bank Group HR Operations</w:t>
        </w:r>
        <w:r w:rsidR="003612E4">
          <w:rPr>
            <w:noProof/>
            <w:webHidden/>
          </w:rPr>
          <w:tab/>
        </w:r>
        <w:r w:rsidR="003612E4">
          <w:rPr>
            <w:noProof/>
            <w:webHidden/>
          </w:rPr>
          <w:fldChar w:fldCharType="begin"/>
        </w:r>
        <w:r w:rsidR="003612E4">
          <w:rPr>
            <w:noProof/>
            <w:webHidden/>
          </w:rPr>
          <w:instrText xml:space="preserve"> PAGEREF _Toc9618569 \h </w:instrText>
        </w:r>
        <w:r w:rsidR="003612E4">
          <w:rPr>
            <w:noProof/>
            <w:webHidden/>
          </w:rPr>
        </w:r>
        <w:r w:rsidR="003612E4">
          <w:rPr>
            <w:noProof/>
            <w:webHidden/>
          </w:rPr>
          <w:fldChar w:fldCharType="separate"/>
        </w:r>
        <w:r w:rsidR="00DA6C22">
          <w:rPr>
            <w:noProof/>
            <w:webHidden/>
          </w:rPr>
          <w:t>15</w:t>
        </w:r>
        <w:r w:rsidR="003612E4">
          <w:rPr>
            <w:noProof/>
            <w:webHidden/>
          </w:rPr>
          <w:fldChar w:fldCharType="end"/>
        </w:r>
      </w:hyperlink>
    </w:p>
    <w:p w14:paraId="51DF1A01" w14:textId="3F56FFAC"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70" w:history="1">
        <w:r w:rsidR="003612E4" w:rsidRPr="00E61DF4">
          <w:rPr>
            <w:rStyle w:val="Hyperlink"/>
            <w:noProof/>
          </w:rPr>
          <w:t>11.3</w:t>
        </w:r>
        <w:r w:rsidR="003612E4">
          <w:rPr>
            <w:rFonts w:asciiTheme="minorHAnsi" w:eastAsiaTheme="minorEastAsia" w:hAnsiTheme="minorHAnsi" w:cstheme="minorBidi"/>
            <w:smallCaps w:val="0"/>
            <w:noProof/>
            <w:sz w:val="22"/>
            <w:szCs w:val="22"/>
          </w:rPr>
          <w:tab/>
        </w:r>
        <w:r w:rsidR="003612E4" w:rsidRPr="00E61DF4">
          <w:rPr>
            <w:rStyle w:val="Hyperlink"/>
            <w:noProof/>
          </w:rPr>
          <w:t>Aetna Member Services</w:t>
        </w:r>
        <w:r w:rsidR="003612E4">
          <w:rPr>
            <w:noProof/>
            <w:webHidden/>
          </w:rPr>
          <w:tab/>
        </w:r>
        <w:r w:rsidR="003612E4">
          <w:rPr>
            <w:noProof/>
            <w:webHidden/>
          </w:rPr>
          <w:fldChar w:fldCharType="begin"/>
        </w:r>
        <w:r w:rsidR="003612E4">
          <w:rPr>
            <w:noProof/>
            <w:webHidden/>
          </w:rPr>
          <w:instrText xml:space="preserve"> PAGEREF _Toc9618570 \h </w:instrText>
        </w:r>
        <w:r w:rsidR="003612E4">
          <w:rPr>
            <w:noProof/>
            <w:webHidden/>
          </w:rPr>
        </w:r>
        <w:r w:rsidR="003612E4">
          <w:rPr>
            <w:noProof/>
            <w:webHidden/>
          </w:rPr>
          <w:fldChar w:fldCharType="separate"/>
        </w:r>
        <w:r w:rsidR="00DA6C22">
          <w:rPr>
            <w:noProof/>
            <w:webHidden/>
          </w:rPr>
          <w:t>15</w:t>
        </w:r>
        <w:r w:rsidR="003612E4">
          <w:rPr>
            <w:noProof/>
            <w:webHidden/>
          </w:rPr>
          <w:fldChar w:fldCharType="end"/>
        </w:r>
      </w:hyperlink>
    </w:p>
    <w:p w14:paraId="76F58010" w14:textId="69CEC032" w:rsidR="003612E4" w:rsidRDefault="004056D4">
      <w:pPr>
        <w:pStyle w:val="TOC2"/>
        <w:tabs>
          <w:tab w:val="left" w:pos="960"/>
          <w:tab w:val="right" w:leader="dot" w:pos="8630"/>
        </w:tabs>
        <w:rPr>
          <w:rFonts w:asciiTheme="minorHAnsi" w:eastAsiaTheme="minorEastAsia" w:hAnsiTheme="minorHAnsi" w:cstheme="minorBidi"/>
          <w:smallCaps w:val="0"/>
          <w:noProof/>
          <w:sz w:val="22"/>
          <w:szCs w:val="22"/>
        </w:rPr>
      </w:pPr>
      <w:hyperlink w:anchor="_Toc9618571" w:history="1">
        <w:r w:rsidR="003612E4" w:rsidRPr="00E61DF4">
          <w:rPr>
            <w:rStyle w:val="Hyperlink"/>
            <w:noProof/>
          </w:rPr>
          <w:t>11.4</w:t>
        </w:r>
        <w:r w:rsidR="003612E4">
          <w:rPr>
            <w:rFonts w:asciiTheme="minorHAnsi" w:eastAsiaTheme="minorEastAsia" w:hAnsiTheme="minorHAnsi" w:cstheme="minorBidi"/>
            <w:smallCaps w:val="0"/>
            <w:noProof/>
            <w:sz w:val="22"/>
            <w:szCs w:val="22"/>
          </w:rPr>
          <w:tab/>
        </w:r>
        <w:r w:rsidR="003612E4" w:rsidRPr="00E61DF4">
          <w:rPr>
            <w:rStyle w:val="Hyperlink"/>
            <w:noProof/>
          </w:rPr>
          <w:t>CVS/caremark Customer Service</w:t>
        </w:r>
        <w:r w:rsidR="003612E4">
          <w:rPr>
            <w:noProof/>
            <w:webHidden/>
          </w:rPr>
          <w:tab/>
        </w:r>
        <w:r w:rsidR="003612E4">
          <w:rPr>
            <w:noProof/>
            <w:webHidden/>
          </w:rPr>
          <w:fldChar w:fldCharType="begin"/>
        </w:r>
        <w:r w:rsidR="003612E4">
          <w:rPr>
            <w:noProof/>
            <w:webHidden/>
          </w:rPr>
          <w:instrText xml:space="preserve"> PAGEREF _Toc9618571 \h </w:instrText>
        </w:r>
        <w:r w:rsidR="003612E4">
          <w:rPr>
            <w:noProof/>
            <w:webHidden/>
          </w:rPr>
        </w:r>
        <w:r w:rsidR="003612E4">
          <w:rPr>
            <w:noProof/>
            <w:webHidden/>
          </w:rPr>
          <w:fldChar w:fldCharType="separate"/>
        </w:r>
        <w:r w:rsidR="00DA6C22">
          <w:rPr>
            <w:noProof/>
            <w:webHidden/>
          </w:rPr>
          <w:t>16</w:t>
        </w:r>
        <w:r w:rsidR="003612E4">
          <w:rPr>
            <w:noProof/>
            <w:webHidden/>
          </w:rPr>
          <w:fldChar w:fldCharType="end"/>
        </w:r>
      </w:hyperlink>
    </w:p>
    <w:p w14:paraId="433ECEA3" w14:textId="77777777" w:rsidR="0079296B" w:rsidRDefault="0079296B">
      <w:pPr>
        <w:jc w:val="both"/>
        <w:rPr>
          <w:rFonts w:ascii="Arial" w:hAnsi="Arial" w:cs="Arial"/>
        </w:rPr>
        <w:sectPr w:rsidR="0079296B">
          <w:headerReference w:type="default" r:id="rId8"/>
          <w:footerReference w:type="even" r:id="rId9"/>
          <w:footerReference w:type="default" r:id="rId10"/>
          <w:footerReference w:type="first" r:id="rId11"/>
          <w:pgSz w:w="12240" w:h="15840" w:code="1"/>
          <w:pgMar w:top="720" w:right="1800" w:bottom="1440" w:left="1800" w:header="720" w:footer="720" w:gutter="0"/>
          <w:pgNumType w:fmt="lowerRoman" w:start="1"/>
          <w:cols w:space="720"/>
          <w:docGrid w:linePitch="326"/>
        </w:sectPr>
      </w:pPr>
      <w:r>
        <w:rPr>
          <w:rFonts w:ascii="Arial" w:hAnsi="Arial" w:cs="Arial"/>
        </w:rPr>
        <w:fldChar w:fldCharType="end"/>
      </w:r>
    </w:p>
    <w:p w14:paraId="5B8A218C" w14:textId="77777777" w:rsidR="0079296B" w:rsidRDefault="0079296B">
      <w:pPr>
        <w:pStyle w:val="Heading1"/>
      </w:pPr>
      <w:bookmarkStart w:id="10" w:name="_Toc514487494"/>
      <w:bookmarkStart w:id="11" w:name="_Toc514489802"/>
      <w:bookmarkStart w:id="12" w:name="_Toc514490251"/>
      <w:bookmarkStart w:id="13" w:name="_Toc514562063"/>
      <w:bookmarkStart w:id="14" w:name="_Toc9618520"/>
      <w: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p>
    <w:p w14:paraId="5D35EBFF" w14:textId="77777777" w:rsidR="0079296B" w:rsidRDefault="0079296B">
      <w:r>
        <w:t xml:space="preserve">The World Bank Group offers an International Administrator medical insurance option for staff and retirees participating in the MIP and residing outside the United States.  The International Administrator is </w:t>
      </w:r>
      <w:r w:rsidR="002425CF">
        <w:t>Cigna</w:t>
      </w:r>
      <w:r>
        <w:t>, an Antwerp-based international benefits consultant and administrator.  This document describes in detail the International Administrator option, its features, and its procedures.</w:t>
      </w:r>
    </w:p>
    <w:p w14:paraId="78AB844D" w14:textId="77777777" w:rsidR="0079296B" w:rsidRDefault="0079296B">
      <w:pPr>
        <w:pStyle w:val="Heading2"/>
      </w:pPr>
      <w:bookmarkStart w:id="15" w:name="_Ref514117456"/>
      <w:bookmarkStart w:id="16" w:name="_Toc514121323"/>
      <w:bookmarkStart w:id="17" w:name="_Toc514121612"/>
      <w:bookmarkStart w:id="18" w:name="_Toc514121689"/>
      <w:bookmarkStart w:id="19" w:name="_Toc514122608"/>
      <w:bookmarkStart w:id="20" w:name="_Toc514241148"/>
      <w:bookmarkStart w:id="21" w:name="_Toc514287961"/>
      <w:bookmarkStart w:id="22" w:name="_Toc514312356"/>
      <w:bookmarkStart w:id="23" w:name="_Toc514373594"/>
      <w:bookmarkStart w:id="24" w:name="_Toc514487495"/>
      <w:bookmarkStart w:id="25" w:name="_Toc514489803"/>
      <w:bookmarkStart w:id="26" w:name="_Toc514490252"/>
      <w:bookmarkStart w:id="27" w:name="_Toc514562064"/>
      <w:bookmarkStart w:id="28" w:name="_Toc9618521"/>
      <w:r>
        <w:t>Who May Elect the International Administrator Option?</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6FF890A" w14:textId="77777777" w:rsidR="0079296B" w:rsidRDefault="0079296B">
      <w:pPr>
        <w:pStyle w:val="Heading3"/>
      </w:pPr>
      <w:bookmarkStart w:id="29" w:name="_Ref514113721"/>
      <w:bookmarkStart w:id="30" w:name="_Toc514121324"/>
      <w:bookmarkStart w:id="31" w:name="_Toc514121613"/>
      <w:bookmarkStart w:id="32" w:name="_Toc514121690"/>
      <w:bookmarkStart w:id="33" w:name="_Toc514122609"/>
      <w:bookmarkStart w:id="34" w:name="_Toc514241149"/>
      <w:bookmarkStart w:id="35" w:name="_Toc514287962"/>
      <w:bookmarkStart w:id="36" w:name="_Toc514312357"/>
      <w:bookmarkStart w:id="37" w:name="_Toc514373595"/>
      <w:bookmarkStart w:id="38" w:name="_Toc514487496"/>
      <w:bookmarkStart w:id="39" w:name="_Toc514489804"/>
      <w:bookmarkStart w:id="40" w:name="_Toc514490253"/>
      <w:bookmarkStart w:id="41" w:name="_Toc514562065"/>
      <w:bookmarkStart w:id="42" w:name="_Toc9618522"/>
      <w:r>
        <w:t>Active Staff MIP Participants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4392344" w14:textId="0409A3D9" w:rsidR="0079296B" w:rsidRDefault="0079296B">
      <w:r>
        <w:t xml:space="preserve">The International Administrator option is available to Active Staff MIP participants whose principle residence is not in the U.S., in the following circumstances, and subject to Section </w:t>
      </w:r>
      <w:r>
        <w:fldChar w:fldCharType="begin"/>
      </w:r>
      <w:r>
        <w:instrText xml:space="preserve"> REF _Ref514113724 \r \h </w:instrText>
      </w:r>
      <w:r>
        <w:fldChar w:fldCharType="separate"/>
      </w:r>
      <w:r w:rsidR="00DA6C22">
        <w:t>1.1.3</w:t>
      </w:r>
      <w:r>
        <w:fldChar w:fldCharType="end"/>
      </w:r>
      <w:r>
        <w:t>:</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1440"/>
      </w:tblGrid>
      <w:tr w:rsidR="0079296B" w14:paraId="57EE28AE" w14:textId="77777777">
        <w:trPr>
          <w:cantSplit/>
        </w:trPr>
        <w:tc>
          <w:tcPr>
            <w:tcW w:w="7548" w:type="dxa"/>
          </w:tcPr>
          <w:p w14:paraId="4F0AD15A" w14:textId="77777777" w:rsidR="0079296B" w:rsidRDefault="0079296B">
            <w:r>
              <w:t>Extended assignment away from Headquarters under Staff Rule 6.17</w:t>
            </w:r>
          </w:p>
        </w:tc>
        <w:tc>
          <w:tcPr>
            <w:tcW w:w="1440" w:type="dxa"/>
            <w:vMerge w:val="restart"/>
            <w:vAlign w:val="center"/>
          </w:tcPr>
          <w:p w14:paraId="6D0E4807" w14:textId="77777777" w:rsidR="0079296B" w:rsidRDefault="0079296B">
            <w:pPr>
              <w:pStyle w:val="Referencestyle"/>
              <w:jc w:val="center"/>
            </w:pPr>
            <w:r>
              <w:t>Eligible</w:t>
            </w:r>
          </w:p>
        </w:tc>
      </w:tr>
      <w:tr w:rsidR="0079296B" w14:paraId="5E04DE77" w14:textId="77777777">
        <w:trPr>
          <w:cantSplit/>
        </w:trPr>
        <w:tc>
          <w:tcPr>
            <w:tcW w:w="7548" w:type="dxa"/>
          </w:tcPr>
          <w:p w14:paraId="669B8A07" w14:textId="77777777" w:rsidR="0079296B" w:rsidRDefault="0079296B">
            <w:r>
              <w:t>Appointment to “HQ Satellite” duty station (Paris, Tokyo, London, Brussels, Rome, etc.)</w:t>
            </w:r>
          </w:p>
        </w:tc>
        <w:tc>
          <w:tcPr>
            <w:tcW w:w="1440" w:type="dxa"/>
            <w:vMerge/>
          </w:tcPr>
          <w:p w14:paraId="780B212E" w14:textId="77777777" w:rsidR="0079296B" w:rsidRDefault="0079296B">
            <w:pPr>
              <w:jc w:val="center"/>
            </w:pPr>
          </w:p>
        </w:tc>
      </w:tr>
      <w:tr w:rsidR="0079296B" w14:paraId="7F3275BB" w14:textId="77777777">
        <w:trPr>
          <w:cantSplit/>
        </w:trPr>
        <w:tc>
          <w:tcPr>
            <w:tcW w:w="7548" w:type="dxa"/>
          </w:tcPr>
          <w:p w14:paraId="7BD765B3" w14:textId="77777777" w:rsidR="0079296B" w:rsidRDefault="0079296B">
            <w:r>
              <w:t>External Service (with or without pay) for at least one full calendar year (January to December)</w:t>
            </w:r>
          </w:p>
        </w:tc>
        <w:tc>
          <w:tcPr>
            <w:tcW w:w="1440" w:type="dxa"/>
            <w:vMerge/>
          </w:tcPr>
          <w:p w14:paraId="11658881" w14:textId="77777777" w:rsidR="0079296B" w:rsidRDefault="0079296B">
            <w:pPr>
              <w:jc w:val="center"/>
            </w:pPr>
          </w:p>
        </w:tc>
      </w:tr>
      <w:tr w:rsidR="0079296B" w14:paraId="531EB3A4" w14:textId="77777777">
        <w:trPr>
          <w:cantSplit/>
        </w:trPr>
        <w:tc>
          <w:tcPr>
            <w:tcW w:w="7548" w:type="dxa"/>
          </w:tcPr>
          <w:p w14:paraId="4DDB81F7" w14:textId="77777777" w:rsidR="0079296B" w:rsidRDefault="0079296B">
            <w:r>
              <w:t>Leave without pay for at least one full calendar year (January to December)</w:t>
            </w:r>
          </w:p>
        </w:tc>
        <w:tc>
          <w:tcPr>
            <w:tcW w:w="1440" w:type="dxa"/>
            <w:vMerge/>
          </w:tcPr>
          <w:p w14:paraId="7915C475" w14:textId="77777777" w:rsidR="0079296B" w:rsidRDefault="0079296B">
            <w:pPr>
              <w:jc w:val="center"/>
            </w:pPr>
          </w:p>
        </w:tc>
      </w:tr>
      <w:tr w:rsidR="0079296B" w14:paraId="4BDE3E62" w14:textId="77777777">
        <w:trPr>
          <w:cantSplit/>
        </w:trPr>
        <w:tc>
          <w:tcPr>
            <w:tcW w:w="7548" w:type="dxa"/>
          </w:tcPr>
          <w:p w14:paraId="5BDE6D39" w14:textId="77777777" w:rsidR="0079296B" w:rsidRDefault="0079296B">
            <w:r>
              <w:t>Telecommuting assignment outside the U.S. of at least one full calendar year (January to December)</w:t>
            </w:r>
          </w:p>
        </w:tc>
        <w:tc>
          <w:tcPr>
            <w:tcW w:w="1440" w:type="dxa"/>
            <w:vMerge/>
          </w:tcPr>
          <w:p w14:paraId="7F110AF4" w14:textId="77777777" w:rsidR="0079296B" w:rsidRDefault="0079296B">
            <w:pPr>
              <w:jc w:val="center"/>
            </w:pPr>
          </w:p>
        </w:tc>
      </w:tr>
      <w:tr w:rsidR="0079296B" w14:paraId="5B73A2EF" w14:textId="77777777">
        <w:tc>
          <w:tcPr>
            <w:tcW w:w="7548" w:type="dxa"/>
          </w:tcPr>
          <w:p w14:paraId="280C064D" w14:textId="77777777" w:rsidR="0079296B" w:rsidRDefault="0079296B">
            <w:r>
              <w:t>Short term assignmen</w:t>
            </w:r>
            <w:r w:rsidR="008E23DA">
              <w:t>t as defined in Staff Rule 6.17</w:t>
            </w:r>
          </w:p>
        </w:tc>
        <w:tc>
          <w:tcPr>
            <w:tcW w:w="1440" w:type="dxa"/>
            <w:vAlign w:val="center"/>
          </w:tcPr>
          <w:p w14:paraId="705A837F" w14:textId="77777777" w:rsidR="0079296B" w:rsidRDefault="0079296B">
            <w:pPr>
              <w:jc w:val="center"/>
            </w:pPr>
            <w:r>
              <w:t>Not eligible</w:t>
            </w:r>
          </w:p>
        </w:tc>
      </w:tr>
    </w:tbl>
    <w:p w14:paraId="7E3E9824" w14:textId="77777777" w:rsidR="0079296B" w:rsidRDefault="0079296B">
      <w:pPr>
        <w:pStyle w:val="Heading3"/>
      </w:pPr>
      <w:bookmarkStart w:id="43" w:name="_Toc514121325"/>
      <w:bookmarkStart w:id="44" w:name="_Toc514121614"/>
      <w:bookmarkStart w:id="45" w:name="_Toc514121691"/>
      <w:bookmarkStart w:id="46" w:name="_Toc514122610"/>
      <w:bookmarkStart w:id="47" w:name="_Toc514241150"/>
      <w:bookmarkStart w:id="48" w:name="_Toc514287963"/>
      <w:bookmarkStart w:id="49" w:name="_Toc514312358"/>
      <w:bookmarkStart w:id="50" w:name="_Toc514373596"/>
      <w:bookmarkStart w:id="51" w:name="_Toc514487497"/>
      <w:bookmarkStart w:id="52" w:name="_Toc514489805"/>
      <w:bookmarkStart w:id="53" w:name="_Toc514490254"/>
      <w:bookmarkStart w:id="54" w:name="_Toc514562066"/>
      <w:bookmarkStart w:id="55" w:name="_Toc9618523"/>
      <w:r>
        <w:t>Retiree MIP Participants</w:t>
      </w:r>
      <w:bookmarkEnd w:id="43"/>
      <w:bookmarkEnd w:id="44"/>
      <w:bookmarkEnd w:id="45"/>
      <w:bookmarkEnd w:id="46"/>
      <w:bookmarkEnd w:id="47"/>
      <w:bookmarkEnd w:id="48"/>
      <w:bookmarkEnd w:id="49"/>
      <w:bookmarkEnd w:id="50"/>
      <w:bookmarkEnd w:id="51"/>
      <w:bookmarkEnd w:id="52"/>
      <w:bookmarkEnd w:id="53"/>
      <w:bookmarkEnd w:id="54"/>
      <w:bookmarkEnd w:id="55"/>
    </w:p>
    <w:p w14:paraId="425F9DCE" w14:textId="24F780AE" w:rsidR="0079296B" w:rsidRDefault="0079296B">
      <w:r>
        <w:t xml:space="preserve">The International Administrator is available only to those Retiree MIP participants with a non-U.S. pension mailing address subject to the provisions of Sections </w:t>
      </w:r>
      <w:r>
        <w:fldChar w:fldCharType="begin"/>
      </w:r>
      <w:r>
        <w:instrText xml:space="preserve"> REF _Ref514113724 \r \h </w:instrText>
      </w:r>
      <w:r>
        <w:fldChar w:fldCharType="separate"/>
      </w:r>
      <w:r w:rsidR="00DA6C22">
        <w:t>1.1.3</w:t>
      </w:r>
      <w:r>
        <w:fldChar w:fldCharType="end"/>
      </w:r>
      <w:r>
        <w:t xml:space="preserve"> and </w:t>
      </w:r>
      <w:r>
        <w:fldChar w:fldCharType="begin"/>
      </w:r>
      <w:r>
        <w:instrText xml:space="preserve"> REF _Ref514370333 \r \h </w:instrText>
      </w:r>
      <w:r>
        <w:fldChar w:fldCharType="separate"/>
      </w:r>
      <w:r w:rsidR="00DA6C22">
        <w:t>1.1.4</w:t>
      </w:r>
      <w:r>
        <w:fldChar w:fldCharType="end"/>
      </w:r>
      <w:r>
        <w:t>.</w:t>
      </w:r>
    </w:p>
    <w:p w14:paraId="6935C412" w14:textId="77777777" w:rsidR="0079296B" w:rsidRDefault="0079296B">
      <w:pPr>
        <w:pStyle w:val="Heading3"/>
      </w:pPr>
      <w:bookmarkStart w:id="56" w:name="_Ref514113724"/>
      <w:bookmarkStart w:id="57" w:name="_Toc514121326"/>
      <w:bookmarkStart w:id="58" w:name="_Toc514121615"/>
      <w:bookmarkStart w:id="59" w:name="_Toc514121692"/>
      <w:bookmarkStart w:id="60" w:name="_Toc514122611"/>
      <w:bookmarkStart w:id="61" w:name="_Toc514241151"/>
      <w:bookmarkStart w:id="62" w:name="_Toc514287964"/>
      <w:bookmarkStart w:id="63" w:name="_Toc514312359"/>
      <w:bookmarkStart w:id="64" w:name="_Toc514373597"/>
      <w:bookmarkStart w:id="65" w:name="_Toc514487498"/>
      <w:bookmarkStart w:id="66" w:name="_Toc514489806"/>
      <w:bookmarkStart w:id="67" w:name="_Toc514490255"/>
      <w:bookmarkStart w:id="68" w:name="_Toc514562067"/>
      <w:bookmarkStart w:id="69" w:name="_Toc9618524"/>
      <w:r>
        <w:t>Sponsored Plan Participants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EAFD761" w14:textId="77777777" w:rsidR="0079296B" w:rsidRDefault="0079296B">
      <w:r>
        <w:t>The International Administrator is not available to any active staff member with an elderly parent or parent-in-law enrolled in the Sponsored Plan.  (The Sponsored Plan is currently supported only by Aetna.)  A retiree with an elderly parent or parent-in-law in the MIP Continuation program of the Sponsored Plan may elect the International Administrator</w:t>
      </w:r>
      <w:r w:rsidR="00F25648">
        <w:t>;</w:t>
      </w:r>
      <w:r>
        <w:t xml:space="preserve"> however, the Sponsored Plan participant would continue to be administered by Aetna.</w:t>
      </w:r>
    </w:p>
    <w:p w14:paraId="4AE69335" w14:textId="77777777" w:rsidR="0079296B" w:rsidRDefault="0079296B">
      <w:pPr>
        <w:pStyle w:val="Heading3"/>
      </w:pPr>
      <w:bookmarkStart w:id="70" w:name="_Ref514370333"/>
      <w:bookmarkStart w:id="71" w:name="_Toc514373598"/>
      <w:bookmarkStart w:id="72" w:name="_Toc514487499"/>
      <w:bookmarkStart w:id="73" w:name="_Toc514489807"/>
      <w:bookmarkStart w:id="74" w:name="_Toc514490256"/>
      <w:bookmarkStart w:id="75" w:name="_Toc514562068"/>
      <w:bookmarkStart w:id="76" w:name="_Toc9618525"/>
      <w:r>
        <w:t>Use of Both Administrators</w:t>
      </w:r>
      <w:bookmarkEnd w:id="70"/>
      <w:bookmarkEnd w:id="71"/>
      <w:bookmarkEnd w:id="72"/>
      <w:bookmarkEnd w:id="73"/>
      <w:bookmarkEnd w:id="74"/>
      <w:bookmarkEnd w:id="75"/>
      <w:bookmarkEnd w:id="76"/>
    </w:p>
    <w:p w14:paraId="0AAA3279" w14:textId="77777777" w:rsidR="0079296B" w:rsidRDefault="0079296B">
      <w:r>
        <w:t>All dependents must use the same Administrator.  This provision extends to surviving dependents covered under the Retiree MIP as individuals (e.g., orphaned children).</w:t>
      </w:r>
    </w:p>
    <w:p w14:paraId="3E5EF3BF" w14:textId="77777777" w:rsidR="0079296B" w:rsidRDefault="0079296B">
      <w:pPr>
        <w:pStyle w:val="Heading2"/>
      </w:pPr>
      <w:bookmarkStart w:id="77" w:name="_Toc514121327"/>
      <w:bookmarkStart w:id="78" w:name="_Toc514121616"/>
      <w:bookmarkStart w:id="79" w:name="_Toc514121693"/>
      <w:bookmarkStart w:id="80" w:name="_Toc514122612"/>
      <w:bookmarkStart w:id="81" w:name="_Toc514241152"/>
      <w:bookmarkStart w:id="82" w:name="_Toc514287965"/>
      <w:bookmarkStart w:id="83" w:name="_Toc514312360"/>
      <w:bookmarkStart w:id="84" w:name="_Toc514373599"/>
      <w:bookmarkStart w:id="85" w:name="_Toc514487500"/>
      <w:bookmarkStart w:id="86" w:name="_Toc514489808"/>
      <w:bookmarkStart w:id="87" w:name="_Toc514490257"/>
      <w:bookmarkStart w:id="88" w:name="_Toc514562069"/>
      <w:bookmarkStart w:id="89" w:name="_Toc9618526"/>
      <w:r>
        <w:lastRenderedPageBreak/>
        <w:t>How Do I Enroll if I Am Eligible?</w:t>
      </w:r>
      <w:bookmarkEnd w:id="77"/>
      <w:bookmarkEnd w:id="78"/>
      <w:bookmarkEnd w:id="79"/>
      <w:bookmarkEnd w:id="80"/>
      <w:bookmarkEnd w:id="81"/>
      <w:bookmarkEnd w:id="82"/>
      <w:bookmarkEnd w:id="83"/>
      <w:bookmarkEnd w:id="84"/>
      <w:bookmarkEnd w:id="85"/>
      <w:bookmarkEnd w:id="86"/>
      <w:bookmarkEnd w:id="87"/>
      <w:bookmarkEnd w:id="88"/>
      <w:bookmarkEnd w:id="89"/>
    </w:p>
    <w:p w14:paraId="5BB9AB2B" w14:textId="77777777" w:rsidR="0079296B" w:rsidRDefault="0079296B">
      <w:r>
        <w:t xml:space="preserve">After reading this document, if you wish to elect the International Administrator, please complete </w:t>
      </w:r>
      <w:r w:rsidR="00F25648">
        <w:t>F</w:t>
      </w:r>
      <w:r>
        <w:t xml:space="preserve">orm </w:t>
      </w:r>
      <w:r w:rsidR="00F25648">
        <w:t xml:space="preserve">F00996 </w:t>
      </w:r>
      <w:r>
        <w:t>and retur</w:t>
      </w:r>
      <w:bookmarkStart w:id="90" w:name="_Toc511095356"/>
      <w:bookmarkStart w:id="91" w:name="_Toc514121328"/>
      <w:bookmarkStart w:id="92" w:name="_Toc514121617"/>
      <w:bookmarkStart w:id="93" w:name="_Toc514121694"/>
      <w:bookmarkStart w:id="94" w:name="_Toc514122613"/>
      <w:bookmarkStart w:id="95" w:name="_Toc514241153"/>
      <w:r>
        <w:t xml:space="preserve">n it to the HR </w:t>
      </w:r>
      <w:r w:rsidR="0027031D">
        <w:t>Operations</w:t>
      </w:r>
      <w:r>
        <w:t>.</w:t>
      </w:r>
      <w:r w:rsidR="00F25648">
        <w:rPr>
          <w:rStyle w:val="FootnoteReference"/>
        </w:rPr>
        <w:footnoteReference w:id="1"/>
      </w:r>
    </w:p>
    <w:p w14:paraId="7CE88714" w14:textId="77777777" w:rsidR="0079296B" w:rsidRDefault="0079296B">
      <w:pPr>
        <w:pStyle w:val="Heading1"/>
      </w:pPr>
      <w:bookmarkStart w:id="96" w:name="_Toc514287966"/>
      <w:bookmarkStart w:id="97" w:name="_Toc514312361"/>
      <w:bookmarkStart w:id="98" w:name="_Toc514373600"/>
      <w:bookmarkStart w:id="99" w:name="_Toc514487501"/>
      <w:bookmarkStart w:id="100" w:name="_Toc514489809"/>
      <w:bookmarkStart w:id="101" w:name="_Toc514490258"/>
      <w:bookmarkStart w:id="102" w:name="_Toc514562070"/>
      <w:bookmarkStart w:id="103" w:name="_Toc9618527"/>
      <w:r>
        <w:t>Plan Design</w:t>
      </w:r>
      <w:bookmarkEnd w:id="90"/>
      <w:r>
        <w:t xml:space="preserve"> and Premiums</w:t>
      </w:r>
      <w:bookmarkEnd w:id="91"/>
      <w:bookmarkEnd w:id="92"/>
      <w:bookmarkEnd w:id="93"/>
      <w:bookmarkEnd w:id="94"/>
      <w:bookmarkEnd w:id="95"/>
      <w:bookmarkEnd w:id="96"/>
      <w:bookmarkEnd w:id="97"/>
      <w:bookmarkEnd w:id="98"/>
      <w:bookmarkEnd w:id="99"/>
      <w:bookmarkEnd w:id="100"/>
      <w:bookmarkEnd w:id="101"/>
      <w:bookmarkEnd w:id="102"/>
      <w:bookmarkEnd w:id="103"/>
    </w:p>
    <w:p w14:paraId="7F931122" w14:textId="77777777" w:rsidR="0079296B" w:rsidRDefault="0079296B">
      <w:pPr>
        <w:pStyle w:val="Heading2"/>
      </w:pPr>
      <w:bookmarkStart w:id="104" w:name="_Toc514121329"/>
      <w:bookmarkStart w:id="105" w:name="_Toc514121618"/>
      <w:bookmarkStart w:id="106" w:name="_Toc514121695"/>
      <w:bookmarkStart w:id="107" w:name="_Toc514122614"/>
      <w:bookmarkStart w:id="108" w:name="_Toc514241154"/>
      <w:bookmarkStart w:id="109" w:name="_Toc514287967"/>
      <w:bookmarkStart w:id="110" w:name="_Toc514312362"/>
      <w:bookmarkStart w:id="111" w:name="_Toc514373601"/>
      <w:bookmarkStart w:id="112" w:name="_Toc514487502"/>
      <w:bookmarkStart w:id="113" w:name="_Toc514489810"/>
      <w:bookmarkStart w:id="114" w:name="_Toc514490259"/>
      <w:bookmarkStart w:id="115" w:name="_Toc514562071"/>
      <w:bookmarkStart w:id="116" w:name="_Toc9618528"/>
      <w:r>
        <w:t>Plan Design</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480543C1" w14:textId="77777777" w:rsidR="0079296B" w:rsidRDefault="0079296B">
      <w:r>
        <w:t xml:space="preserve">The International and Domestic options of the MIP are nearly identical in terms of the coverage of benefits provided to staff or retirees.  For Active Staff, Option C is not available with </w:t>
      </w:r>
      <w:r w:rsidR="002C4482">
        <w:t>Cigna</w:t>
      </w:r>
      <w:r>
        <w:t xml:space="preserve">.  Detailed International Administrator plan design grids for Active Staff Options A and B, and for Retiree Plans 1 and 2, are available online at http://benefits for active staff and http://www.worldbank.org/yournet for retirees, or by contacting HR </w:t>
      </w:r>
      <w:r w:rsidR="0027031D">
        <w:t>Operations</w:t>
      </w:r>
      <w:r>
        <w:t>.  The minor plan design differences between the International and Domestic Administrator options include:</w:t>
      </w:r>
    </w:p>
    <w:p w14:paraId="0D052D71" w14:textId="459B7C64" w:rsidR="0079296B" w:rsidRDefault="0079296B">
      <w:pPr>
        <w:numPr>
          <w:ilvl w:val="1"/>
          <w:numId w:val="2"/>
        </w:numPr>
        <w:tabs>
          <w:tab w:val="clear" w:pos="1440"/>
          <w:tab w:val="num" w:pos="720"/>
        </w:tabs>
        <w:ind w:left="1080"/>
      </w:pPr>
      <w:r>
        <w:rPr>
          <w:u w:val="single"/>
        </w:rPr>
        <w:t>Dental</w:t>
      </w:r>
      <w:r>
        <w:t>: Under the International Administrator, which has no dental “preferred provider” network, routine dental care is covered at 100% no deductible, and special periodontal and oral surgery services are covered at 90% after deductible</w:t>
      </w:r>
      <w:r>
        <w:rPr>
          <w:rStyle w:val="FootnoteReference"/>
        </w:rPr>
        <w:footnoteReference w:id="2"/>
      </w:r>
      <w:r>
        <w:t xml:space="preserve"> (see Section </w:t>
      </w:r>
      <w:r>
        <w:fldChar w:fldCharType="begin"/>
      </w:r>
      <w:r>
        <w:instrText xml:space="preserve"> REF _Ref514233474 \r \h </w:instrText>
      </w:r>
      <w:r>
        <w:fldChar w:fldCharType="separate"/>
      </w:r>
      <w:r w:rsidR="00DA6C22">
        <w:t>3.3</w:t>
      </w:r>
      <w:r>
        <w:fldChar w:fldCharType="end"/>
      </w:r>
      <w:r>
        <w:t>).  In the Domestic Administrator option, these higher benefits (from the normal 80% after deductible coverage) are only available via use of “in-network” Aetna Dental PPO dentists.</w:t>
      </w:r>
    </w:p>
    <w:p w14:paraId="1AACF1DD" w14:textId="5BF12C0B" w:rsidR="0079296B" w:rsidRDefault="0079296B">
      <w:pPr>
        <w:numPr>
          <w:ilvl w:val="1"/>
          <w:numId w:val="2"/>
        </w:numPr>
        <w:tabs>
          <w:tab w:val="clear" w:pos="1440"/>
          <w:tab w:val="num" w:pos="720"/>
        </w:tabs>
        <w:ind w:left="1080"/>
      </w:pPr>
      <w:r>
        <w:rPr>
          <w:u w:val="single"/>
        </w:rPr>
        <w:t>Application of out-of-pocket limit</w:t>
      </w:r>
      <w:r>
        <w:t xml:space="preserve">: Under the Domestic Administrator, there is a medical expense out-of-pocket limit, and an in-network prescription drug out-of-pocket limit for brand-name drugs purchased in </w:t>
      </w:r>
      <w:r w:rsidR="00EE135D">
        <w:t xml:space="preserve">pharmacies affiliated with </w:t>
      </w:r>
      <w:r w:rsidR="00FD3377">
        <w:t>CVS/caremark</w:t>
      </w:r>
      <w:r>
        <w:t xml:space="preserve">.  Under the International Administrator, there is only a medical out-of-pocket limit.  The total out-of-pocket limit for any participant is identical.  Coordination of information by Aetna, </w:t>
      </w:r>
      <w:r w:rsidR="002C4482">
        <w:t>Cigna</w:t>
      </w:r>
      <w:r>
        <w:t xml:space="preserve"> and </w:t>
      </w:r>
      <w:r w:rsidR="00FD3377">
        <w:t>CVS/caremark</w:t>
      </w:r>
      <w:r>
        <w:t xml:space="preserve"> will ensure consistent and identical application of the out-of-pocket maximum to all MIP participants, regardless of choice of Domestic versus International Administrator (see Section </w:t>
      </w:r>
      <w:r>
        <w:fldChar w:fldCharType="begin"/>
      </w:r>
      <w:r>
        <w:instrText xml:space="preserve"> REF _Ref514233367 \r \h </w:instrText>
      </w:r>
      <w:r>
        <w:fldChar w:fldCharType="separate"/>
      </w:r>
      <w:r w:rsidR="00DA6C22">
        <w:t>3.4</w:t>
      </w:r>
      <w:r>
        <w:fldChar w:fldCharType="end"/>
      </w:r>
      <w:r>
        <w:t xml:space="preserve"> and Section </w:t>
      </w:r>
      <w:r>
        <w:fldChar w:fldCharType="begin"/>
      </w:r>
      <w:r>
        <w:instrText xml:space="preserve"> REF _Ref514282820 \r \h </w:instrText>
      </w:r>
      <w:r>
        <w:fldChar w:fldCharType="separate"/>
      </w:r>
      <w:r w:rsidR="00DA6C22">
        <w:t>8</w:t>
      </w:r>
      <w:r>
        <w:fldChar w:fldCharType="end"/>
      </w:r>
      <w:r>
        <w:t>) and regardless of where prescription drugs are purchased.</w:t>
      </w:r>
    </w:p>
    <w:p w14:paraId="77C76C65" w14:textId="77777777" w:rsidR="0079296B" w:rsidRDefault="0079296B">
      <w:r>
        <w:t>There are differences between the two administrators other than coverage levels which may be particular interest to non-U.S. based MIP participants.  These are described in detail below.</w:t>
      </w:r>
    </w:p>
    <w:p w14:paraId="389658FA" w14:textId="77777777" w:rsidR="0079296B" w:rsidRDefault="0079296B">
      <w:pPr>
        <w:pStyle w:val="Heading2"/>
      </w:pPr>
      <w:bookmarkStart w:id="117" w:name="_Toc514121330"/>
      <w:bookmarkStart w:id="118" w:name="_Toc514121619"/>
      <w:bookmarkStart w:id="119" w:name="_Toc514121696"/>
      <w:bookmarkStart w:id="120" w:name="_Toc514122615"/>
      <w:bookmarkStart w:id="121" w:name="_Toc514241155"/>
      <w:bookmarkStart w:id="122" w:name="_Toc514287968"/>
      <w:bookmarkStart w:id="123" w:name="_Toc514312363"/>
      <w:bookmarkStart w:id="124" w:name="_Toc514373602"/>
      <w:bookmarkStart w:id="125" w:name="_Toc514487503"/>
      <w:bookmarkStart w:id="126" w:name="_Toc514489811"/>
      <w:bookmarkStart w:id="127" w:name="_Toc514490260"/>
      <w:bookmarkStart w:id="128" w:name="_Toc514562072"/>
      <w:bookmarkStart w:id="129" w:name="_Toc9618529"/>
      <w:bookmarkStart w:id="130" w:name="_Toc511095357"/>
      <w:r>
        <w:lastRenderedPageBreak/>
        <w:t>Premiums</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7AE03314" w14:textId="77777777" w:rsidR="0079296B" w:rsidRDefault="0079296B">
      <w:r>
        <w:t>There is no difference in the staff or retiree MIP contributions for the International Option versus the Domestic Option.</w:t>
      </w:r>
    </w:p>
    <w:p w14:paraId="06147251" w14:textId="77777777" w:rsidR="0079296B" w:rsidRDefault="0079296B">
      <w:pPr>
        <w:pStyle w:val="Heading1"/>
      </w:pPr>
      <w:bookmarkStart w:id="131" w:name="_Toc514121331"/>
      <w:bookmarkStart w:id="132" w:name="_Toc514121620"/>
      <w:bookmarkStart w:id="133" w:name="_Toc514121697"/>
      <w:bookmarkStart w:id="134" w:name="_Toc514122616"/>
      <w:bookmarkStart w:id="135" w:name="_Toc514241156"/>
      <w:bookmarkStart w:id="136" w:name="_Toc514287969"/>
      <w:bookmarkStart w:id="137" w:name="_Toc514312364"/>
      <w:bookmarkStart w:id="138" w:name="_Toc514373603"/>
      <w:bookmarkStart w:id="139" w:name="_Toc514487504"/>
      <w:bookmarkStart w:id="140" w:name="_Toc514489812"/>
      <w:bookmarkStart w:id="141" w:name="_Toc514490261"/>
      <w:bookmarkStart w:id="142" w:name="_Toc514562073"/>
      <w:bookmarkStart w:id="143" w:name="_Toc9618530"/>
      <w:r>
        <w:t>Medical Care and Preferred Providers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9723E34" w14:textId="77777777" w:rsidR="0079296B" w:rsidRDefault="0079296B">
      <w:r>
        <w:t>Both the Domestic Administrator and the International Administrator, in accordance with the MIP contract, cover all medically necessary treatment, anywhere in the world.</w:t>
      </w:r>
    </w:p>
    <w:p w14:paraId="0EC93440" w14:textId="77777777" w:rsidR="0079296B" w:rsidRDefault="0079296B">
      <w:pPr>
        <w:pStyle w:val="Heading2"/>
      </w:pPr>
      <w:bookmarkStart w:id="144" w:name="_Toc511095358"/>
      <w:bookmarkStart w:id="145" w:name="_Toc514121332"/>
      <w:bookmarkStart w:id="146" w:name="_Toc514121621"/>
      <w:bookmarkStart w:id="147" w:name="_Toc514121698"/>
      <w:bookmarkStart w:id="148" w:name="_Toc514122617"/>
      <w:bookmarkStart w:id="149" w:name="_Toc514241157"/>
      <w:bookmarkStart w:id="150" w:name="_Toc514287970"/>
      <w:bookmarkStart w:id="151" w:name="_Toc514312365"/>
      <w:bookmarkStart w:id="152" w:name="_Toc514373604"/>
      <w:bookmarkStart w:id="153" w:name="_Toc514487505"/>
      <w:bookmarkStart w:id="154" w:name="_Toc514489813"/>
      <w:bookmarkStart w:id="155" w:name="_Toc514490262"/>
      <w:bookmarkStart w:id="156" w:name="_Toc514562074"/>
      <w:bookmarkStart w:id="157" w:name="_Toc9618531"/>
      <w:r>
        <w:t>Care Outside the U.S.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7E6292E" w14:textId="77777777" w:rsidR="0079296B" w:rsidRDefault="0079296B">
      <w:r>
        <w:t xml:space="preserve">Staff and retirees who elect the International Administrator and who receive care outside the U.S. are encouraged to use providers (usually hospitals and clinics) who have an agreement with </w:t>
      </w:r>
      <w:r w:rsidR="002C4482">
        <w:t>Cigna</w:t>
      </w:r>
      <w:r>
        <w:t xml:space="preserve">.  This will usually lower the participant’s costs and costs to the MIP.  These agreements relate to fees only and do not reflect an endorsement or recommendation of a particular hospital or provider by </w:t>
      </w:r>
      <w:r w:rsidR="002C4482">
        <w:t>Cigna</w:t>
      </w:r>
      <w:r>
        <w:t xml:space="preserve"> or the World Bank Group.</w:t>
      </w:r>
    </w:p>
    <w:p w14:paraId="33C6B0D0" w14:textId="77777777" w:rsidR="0079296B" w:rsidRDefault="002C4482">
      <w:r>
        <w:t>Cigna</w:t>
      </w:r>
      <w:r w:rsidR="0079296B">
        <w:t xml:space="preserve"> is affiliated with providers in over 50 countries.  These providers accept the </w:t>
      </w:r>
      <w:r>
        <w:t>Cigna</w:t>
      </w:r>
      <w:r w:rsidR="0079296B">
        <w:t xml:space="preserve"> insurance card in lieu of advance payment for services, provision of a guarantee of insurance, or payment of a deposit.  Using these providers enables your admission to hospitals and clinics without advance payments, deposits or certification of insurance.  These facilities will bill </w:t>
      </w:r>
      <w:r>
        <w:t>Cigna</w:t>
      </w:r>
      <w:r w:rsidR="0079296B">
        <w:t xml:space="preserve"> directly for your medical costs.  </w:t>
      </w:r>
      <w:r>
        <w:t>Cigna</w:t>
      </w:r>
      <w:r w:rsidR="0079296B">
        <w:t xml:space="preserve"> will pay the hospital or provider directly up to the part covered by the MIP and at the same time inform you of any coinsurance that you owe the provider.  Using </w:t>
      </w:r>
      <w:r>
        <w:t>Cigna</w:t>
      </w:r>
      <w:r w:rsidR="0079296B">
        <w:t xml:space="preserve"> providers also maximizes your MIP benefit, since in many cases the </w:t>
      </w:r>
      <w:r>
        <w:t>Cigna</w:t>
      </w:r>
      <w:r w:rsidR="0079296B">
        <w:t xml:space="preserve">-affiliated facilities provide services at a discount to </w:t>
      </w:r>
      <w:r>
        <w:t>Cigna</w:t>
      </w:r>
      <w:r w:rsidR="0079296B">
        <w:t xml:space="preserve"> participants.</w:t>
      </w:r>
    </w:p>
    <w:p w14:paraId="6879F300" w14:textId="285C0FD4" w:rsidR="0079296B" w:rsidRDefault="0079296B">
      <w:r>
        <w:t xml:space="preserve">For more information on </w:t>
      </w:r>
      <w:r w:rsidR="002C4482">
        <w:t>Cigna</w:t>
      </w:r>
      <w:r>
        <w:t xml:space="preserve"> providers, see </w:t>
      </w:r>
      <w:r w:rsidR="002C4482">
        <w:t>Cigna</w:t>
      </w:r>
      <w:r>
        <w:t xml:space="preserve">’s web site or contact their Call Center (see Section </w:t>
      </w:r>
      <w:r>
        <w:fldChar w:fldCharType="begin"/>
      </w:r>
      <w:r>
        <w:instrText xml:space="preserve"> REF _Ref514235311 \r \h </w:instrText>
      </w:r>
      <w:r>
        <w:fldChar w:fldCharType="separate"/>
      </w:r>
      <w:r w:rsidR="00DA6C22">
        <w:t>11.1</w:t>
      </w:r>
      <w:r>
        <w:fldChar w:fldCharType="end"/>
      </w:r>
      <w:r>
        <w:t>).</w:t>
      </w:r>
    </w:p>
    <w:p w14:paraId="296C463B" w14:textId="77777777" w:rsidR="0079296B" w:rsidRDefault="0079296B">
      <w:pPr>
        <w:pStyle w:val="Heading2"/>
      </w:pPr>
      <w:r>
        <w:t xml:space="preserve"> </w:t>
      </w:r>
      <w:bookmarkStart w:id="158" w:name="_Toc511095359"/>
      <w:bookmarkStart w:id="159" w:name="_Toc514121333"/>
      <w:bookmarkStart w:id="160" w:name="_Toc514121622"/>
      <w:bookmarkStart w:id="161" w:name="_Toc514121699"/>
      <w:bookmarkStart w:id="162" w:name="_Toc514122618"/>
      <w:bookmarkStart w:id="163" w:name="_Toc514241158"/>
      <w:bookmarkStart w:id="164" w:name="_Toc514287971"/>
      <w:bookmarkStart w:id="165" w:name="_Toc514312366"/>
      <w:bookmarkStart w:id="166" w:name="_Toc514373605"/>
      <w:bookmarkStart w:id="167" w:name="_Toc514487506"/>
      <w:bookmarkStart w:id="168" w:name="_Toc514489814"/>
      <w:bookmarkStart w:id="169" w:name="_Toc514490263"/>
      <w:bookmarkStart w:id="170" w:name="_Toc514562075"/>
      <w:bookmarkStart w:id="171" w:name="_Toc9618532"/>
      <w:r>
        <w:t>Care Within the U.S.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39CF093F" w14:textId="77777777" w:rsidR="0079296B" w:rsidRDefault="00F25648">
      <w:r>
        <w:t xml:space="preserve">Staff members and retirees (as well as covered dependents) enrolled in </w:t>
      </w:r>
      <w:r w:rsidR="002C4482">
        <w:t>Cigna</w:t>
      </w:r>
      <w:r>
        <w:t xml:space="preserve"> may use Aetna’s Open Choice PPO network for care received in the U.S.</w:t>
      </w:r>
      <w:r w:rsidR="0079296B">
        <w:t xml:space="preserve"> If International Administrator participants receive medical care in the U.S., use of </w:t>
      </w:r>
      <w:r>
        <w:t>Aetna Open Choice PPO</w:t>
      </w:r>
      <w:r w:rsidR="009824D7">
        <w:t xml:space="preserve"> </w:t>
      </w:r>
      <w:r w:rsidR="0079296B">
        <w:t>providers offers significant advantages:</w:t>
      </w:r>
    </w:p>
    <w:p w14:paraId="56A2781F" w14:textId="77777777" w:rsidR="0079296B" w:rsidRDefault="0079296B">
      <w:pPr>
        <w:numPr>
          <w:ilvl w:val="0"/>
          <w:numId w:val="4"/>
        </w:numPr>
      </w:pPr>
      <w:r>
        <w:t>A copayment of US$15 (Active Staff Option A, Retiree Plan 1) or US$20 (Active Staff Option B, Retiree Plan 2) for all physician office visits, regardless of the cost.  Expenses other than the office visit fee for additional services such as x-rays, lab tests, etc. will be reimbursed at the appropriate percentage for that benefit category.</w:t>
      </w:r>
    </w:p>
    <w:p w14:paraId="31E72CFB" w14:textId="77777777" w:rsidR="0079296B" w:rsidRDefault="0079296B">
      <w:pPr>
        <w:numPr>
          <w:ilvl w:val="0"/>
          <w:numId w:val="4"/>
        </w:numPr>
      </w:pPr>
      <w:r>
        <w:t xml:space="preserve">Lower-cost medical services.  </w:t>
      </w:r>
      <w:r w:rsidR="00F25648">
        <w:t>Aetna Open Choice PPO</w:t>
      </w:r>
      <w:r>
        <w:t xml:space="preserve"> providers and hospitals have agreed to charge </w:t>
      </w:r>
      <w:r w:rsidR="002C4482">
        <w:t>Cigna</w:t>
      </w:r>
      <w:r>
        <w:t xml:space="preserve"> patients reduced fees for their services.</w:t>
      </w:r>
    </w:p>
    <w:p w14:paraId="0CB56C5C" w14:textId="77777777" w:rsidR="0079296B" w:rsidRDefault="0079296B">
      <w:pPr>
        <w:numPr>
          <w:ilvl w:val="0"/>
          <w:numId w:val="4"/>
        </w:numPr>
      </w:pPr>
      <w:r>
        <w:lastRenderedPageBreak/>
        <w:t xml:space="preserve">In addition to a large nationwide network of qualified physicians and hospitals, </w:t>
      </w:r>
      <w:r w:rsidR="00F25648">
        <w:t>Aetna Open Choice PPO</w:t>
      </w:r>
      <w:r>
        <w:t xml:space="preserve">’s network includes many other medical facilities and services, such as laboratories, radiology centers, dialysis centers, durable medical equipment providers, sleep diagnostic centers, etc.  By using one of these providers, you maximize your MIP benefits because your care will be less expensive than identical care from providers who are not affiliated with </w:t>
      </w:r>
      <w:r w:rsidR="00F25648">
        <w:t>Aetna Open Choice PPO</w:t>
      </w:r>
      <w:r>
        <w:t>.</w:t>
      </w:r>
    </w:p>
    <w:p w14:paraId="270AAA5D" w14:textId="77777777" w:rsidR="0079296B" w:rsidRDefault="0079296B">
      <w:pPr>
        <w:numPr>
          <w:ilvl w:val="0"/>
          <w:numId w:val="4"/>
        </w:numPr>
      </w:pPr>
      <w:r>
        <w:t xml:space="preserve">Depending on your MIP Option or Retiree MIP Plan, you may receive a higher level of coverage when you use </w:t>
      </w:r>
      <w:r w:rsidR="008E23DA">
        <w:t>Aetna Open Choice PPO</w:t>
      </w:r>
      <w:r>
        <w:t xml:space="preserve">.  For example, in Retiree Plan 1, laboratory and x-rays are covered at 90% after deductible at a laboratory or radiology facility affiliated with </w:t>
      </w:r>
      <w:r w:rsidR="00F25648">
        <w:t>Aetna Open Choice PPO</w:t>
      </w:r>
      <w:r>
        <w:t>, but 80% after deductible if you use non-affiliated “out-of-network” facilities.</w:t>
      </w:r>
    </w:p>
    <w:p w14:paraId="5F367A50" w14:textId="71461AD5" w:rsidR="0079296B" w:rsidRDefault="0079296B">
      <w:r>
        <w:t xml:space="preserve">You can find </w:t>
      </w:r>
      <w:r w:rsidR="00F25648">
        <w:t>Aetna Open Choice PPO</w:t>
      </w:r>
      <w:r>
        <w:t xml:space="preserve"> providers on the web </w:t>
      </w:r>
      <w:bookmarkStart w:id="172" w:name="_Toc511095362"/>
      <w:r w:rsidR="00F25648">
        <w:t xml:space="preserve">at </w:t>
      </w:r>
      <w:hyperlink r:id="rId12" w:history="1">
        <w:r w:rsidR="00F25648" w:rsidRPr="003748C9">
          <w:rPr>
            <w:rStyle w:val="Hyperlink"/>
          </w:rPr>
          <w:t>www.aetna.com/docfind</w:t>
        </w:r>
      </w:hyperlink>
      <w:r w:rsidR="00F25648">
        <w:t xml:space="preserve"> </w:t>
      </w:r>
      <w:r>
        <w:t xml:space="preserve">or by contacting </w:t>
      </w:r>
      <w:r w:rsidR="00F25648">
        <w:t>Aetna</w:t>
      </w:r>
      <w:r>
        <w:t xml:space="preserve"> (see Section </w:t>
      </w:r>
      <w:r>
        <w:fldChar w:fldCharType="begin"/>
      </w:r>
      <w:r>
        <w:instrText xml:space="preserve"> REF _Ref514235311 \r \h </w:instrText>
      </w:r>
      <w:r>
        <w:fldChar w:fldCharType="separate"/>
      </w:r>
      <w:r w:rsidR="00DA6C22">
        <w:t>11.1</w:t>
      </w:r>
      <w:r>
        <w:fldChar w:fldCharType="end"/>
      </w:r>
      <w:r>
        <w:t>).</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7687"/>
      </w:tblGrid>
      <w:tr w:rsidR="0079296B" w14:paraId="6A5696E2" w14:textId="77777777">
        <w:tc>
          <w:tcPr>
            <w:tcW w:w="948" w:type="dxa"/>
            <w:tcBorders>
              <w:right w:val="nil"/>
            </w:tcBorders>
            <w:vAlign w:val="center"/>
          </w:tcPr>
          <w:p w14:paraId="47FF48AC" w14:textId="77777777" w:rsidR="0079296B" w:rsidRDefault="0079296B">
            <w:pPr>
              <w:jc w:val="center"/>
            </w:pPr>
            <w:r>
              <w:object w:dxaOrig="586" w:dyaOrig="586" w14:anchorId="5A585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fillcolor="window">
                  <v:imagedata r:id="rId13" o:title=""/>
                </v:shape>
                <o:OLEObject Type="Embed" ProgID="Word.Picture.8" ShapeID="_x0000_i1025" DrawAspect="Content" ObjectID="_1621404488" r:id="rId14"/>
              </w:object>
            </w:r>
          </w:p>
        </w:tc>
        <w:tc>
          <w:tcPr>
            <w:tcW w:w="7908" w:type="dxa"/>
            <w:tcBorders>
              <w:left w:val="nil"/>
            </w:tcBorders>
          </w:tcPr>
          <w:p w14:paraId="2793C0C2" w14:textId="77777777" w:rsidR="0079296B" w:rsidRDefault="00F25648" w:rsidP="00753050">
            <w:r>
              <w:t>If you receive care in the U.S. from a provider who is not affiliated with Aetna Open Choice PPO,</w:t>
            </w:r>
            <w:r w:rsidR="0079296B">
              <w:t xml:space="preserve"> your coverage will be “out-of-network</w:t>
            </w:r>
            <w:r>
              <w:t>.</w:t>
            </w:r>
            <w:r w:rsidR="0079296B">
              <w:t>”</w:t>
            </w:r>
            <w:r w:rsidR="00753050">
              <w:t xml:space="preserve">  All "out of network" claims must be submitted to Cigna.</w:t>
            </w:r>
          </w:p>
        </w:tc>
      </w:tr>
    </w:tbl>
    <w:p w14:paraId="16E75616" w14:textId="77777777" w:rsidR="0079296B" w:rsidRDefault="0079296B"/>
    <w:p w14:paraId="43DE58BE" w14:textId="77777777" w:rsidR="0079296B" w:rsidRDefault="0079296B">
      <w:pPr>
        <w:pStyle w:val="Heading2"/>
      </w:pPr>
      <w:bookmarkStart w:id="173" w:name="_Toc514121334"/>
      <w:bookmarkStart w:id="174" w:name="_Toc514121623"/>
      <w:bookmarkStart w:id="175" w:name="_Toc514121700"/>
      <w:bookmarkStart w:id="176" w:name="_Toc514122619"/>
      <w:bookmarkStart w:id="177" w:name="_Ref514233474"/>
      <w:bookmarkStart w:id="178" w:name="_Toc514241159"/>
      <w:bookmarkStart w:id="179" w:name="_Toc514287972"/>
      <w:bookmarkStart w:id="180" w:name="_Toc514312367"/>
      <w:bookmarkStart w:id="181" w:name="_Toc514373606"/>
      <w:bookmarkStart w:id="182" w:name="_Toc514487507"/>
      <w:bookmarkStart w:id="183" w:name="_Toc514489815"/>
      <w:bookmarkStart w:id="184" w:name="_Toc514490264"/>
      <w:bookmarkStart w:id="185" w:name="_Toc514562076"/>
      <w:bookmarkStart w:id="186" w:name="_Toc9618533"/>
      <w:r>
        <w:t>Dental Services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3FF4731" w14:textId="77777777" w:rsidR="0079296B" w:rsidRDefault="002C4482">
      <w:r>
        <w:t>Cigna</w:t>
      </w:r>
      <w:r w:rsidR="0079296B">
        <w:t xml:space="preserve"> does not have a dental network or agreements with any dental providers.  Thus, International Administrator participants are covered at one level for all dental services, with no distinction between “in-network” and “out-of-network” services.  International Administrator participants </w:t>
      </w:r>
      <w:r w:rsidR="00F25648">
        <w:t xml:space="preserve">may </w:t>
      </w:r>
      <w:r w:rsidR="0079296B">
        <w:t>access to the Aetna Dental PPO for “in-ne</w:t>
      </w:r>
      <w:r w:rsidR="008E23DA">
        <w:t>twork” dental care in the U.S.</w:t>
      </w:r>
    </w:p>
    <w:p w14:paraId="335AF84C" w14:textId="77777777" w:rsidR="0079296B" w:rsidRDefault="0079296B">
      <w:r>
        <w:t>Recognizing the absence of a dental network in the International Administrator option, routine annual cleanings (two per calendar year per insured) are reimbursed at 100%, and special periodontal and oral surgery are reimbursed 90% after deductible.</w:t>
      </w:r>
      <w:r>
        <w:rPr>
          <w:rStyle w:val="FootnoteReference"/>
        </w:rPr>
        <w:footnoteReference w:id="3"/>
      </w:r>
    </w:p>
    <w:p w14:paraId="43F438C0" w14:textId="77777777" w:rsidR="0079296B" w:rsidRPr="000C64A3" w:rsidRDefault="0079296B">
      <w:pPr>
        <w:pStyle w:val="Heading2"/>
      </w:pPr>
      <w:bookmarkStart w:id="187" w:name="_Toc511095363"/>
      <w:bookmarkStart w:id="188" w:name="_Toc514121335"/>
      <w:bookmarkStart w:id="189" w:name="_Toc514121624"/>
      <w:bookmarkStart w:id="190" w:name="_Toc514121701"/>
      <w:bookmarkStart w:id="191" w:name="_Toc514122620"/>
      <w:bookmarkStart w:id="192" w:name="_Ref514233367"/>
      <w:bookmarkStart w:id="193" w:name="_Toc514241160"/>
      <w:bookmarkStart w:id="194" w:name="_Toc514287973"/>
      <w:bookmarkStart w:id="195" w:name="_Toc514312368"/>
      <w:bookmarkStart w:id="196" w:name="_Toc514373607"/>
      <w:bookmarkStart w:id="197" w:name="_Toc514487508"/>
      <w:bookmarkStart w:id="198" w:name="_Toc514489816"/>
      <w:bookmarkStart w:id="199" w:name="_Toc514490265"/>
      <w:bookmarkStart w:id="200" w:name="_Toc514562077"/>
      <w:bookmarkStart w:id="201" w:name="_Toc9618534"/>
      <w:r w:rsidRPr="000C64A3">
        <w:t>Pharmacy Services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0B31FFFC" w14:textId="77777777" w:rsidR="0079296B" w:rsidRPr="000C64A3" w:rsidRDefault="0079296B">
      <w:r w:rsidRPr="000C64A3">
        <w:t>The MIP covers the cost of drugs prescribed by a licensed doctor for medically necessary treatment of illness, in accordance with the MIP contract.</w:t>
      </w:r>
    </w:p>
    <w:p w14:paraId="18361F0C" w14:textId="77777777" w:rsidR="0079296B" w:rsidRPr="000C64A3" w:rsidRDefault="0079296B">
      <w:r w:rsidRPr="000C64A3">
        <w:t xml:space="preserve">Qualifying prescription drug purchases made (a) outside the U.S., or (b) inside the U.S. but not at a </w:t>
      </w:r>
      <w:r w:rsidR="00FD3377" w:rsidRPr="000C64A3">
        <w:t>CVS/caremark</w:t>
      </w:r>
      <w:r w:rsidRPr="000C64A3">
        <w:t xml:space="preserve">-affiliated pharmacy, are reimbursed at 80% after deductible, </w:t>
      </w:r>
      <w:r w:rsidRPr="000C64A3">
        <w:lastRenderedPageBreak/>
        <w:t>for both brand-name and generic drugs, and are subject to your medical out-of-pocket limits.  In the U.S., there is a sharp distinction in price (but not quality) between brand-name and generic drugs.  Use of generic drugs offers savings for you and the MIP.</w:t>
      </w:r>
    </w:p>
    <w:p w14:paraId="6F51C12F" w14:textId="77777777" w:rsidR="00372450" w:rsidRDefault="0079296B">
      <w:r w:rsidRPr="000C64A3">
        <w:t xml:space="preserve">In addition, the World Bank Group has contracted with </w:t>
      </w:r>
      <w:r w:rsidR="00FD3377" w:rsidRPr="000C64A3">
        <w:t>CVS/caremark</w:t>
      </w:r>
      <w:r w:rsidRPr="000C64A3">
        <w:t>, a U.S. network of pharmacies, to provide both brand-name and generic drugs at significantly reduced cost.</w:t>
      </w:r>
      <w:r w:rsidRPr="000C64A3">
        <w:rPr>
          <w:rStyle w:val="FootnoteReference"/>
        </w:rPr>
        <w:footnoteReference w:id="4"/>
      </w:r>
      <w:r>
        <w:t xml:space="preserve">  Each MIP participant receives a </w:t>
      </w:r>
      <w:r w:rsidR="00FD3377">
        <w:t>CVS/caremark</w:t>
      </w:r>
      <w:r>
        <w:t xml:space="preserve"> card, including those enrolled in the International Administrator option.  If you purchase prescription drugs in the U.S., using your </w:t>
      </w:r>
      <w:r w:rsidR="00FD3377">
        <w:t>CVS/caremark</w:t>
      </w:r>
      <w:r>
        <w:t xml:space="preserve"> card at </w:t>
      </w:r>
      <w:r w:rsidR="00FD3377">
        <w:t>CVS/caremark</w:t>
      </w:r>
      <w:r>
        <w:t xml:space="preserve">-affiliated pharmacies will maximize your savings.  </w:t>
      </w:r>
      <w:r w:rsidR="00372450">
        <w:t xml:space="preserve">Prescription drugs purchased at </w:t>
      </w:r>
      <w:r w:rsidR="00FD3377">
        <w:t>CVS/caremark</w:t>
      </w:r>
      <w:r w:rsidR="00372450">
        <w:t xml:space="preserve">-affiliated retail pharmacies are subject to coinsurance and </w:t>
      </w:r>
      <w:r w:rsidR="003F42CB">
        <w:t>per</w:t>
      </w:r>
      <w:r w:rsidR="00C67872">
        <w:t>-</w:t>
      </w:r>
      <w:r w:rsidR="003F42CB">
        <w:t xml:space="preserve">prescription </w:t>
      </w:r>
      <w:r w:rsidR="00C67872">
        <w:t xml:space="preserve">per-fill </w:t>
      </w:r>
      <w:r w:rsidR="00372450">
        <w:t>copay maximums as follows:</w:t>
      </w:r>
    </w:p>
    <w:p w14:paraId="2E6D2043" w14:textId="77777777" w:rsidR="00372450" w:rsidRPr="006F6A5F"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F6A5F">
        <w:rPr>
          <w:u w:val="single"/>
        </w:rPr>
        <w:t>Non-specialty</w:t>
      </w:r>
      <w:r w:rsidRPr="006F6A5F">
        <w:rPr>
          <w:u w:val="single"/>
        </w:rPr>
        <w:tab/>
      </w:r>
      <w:r w:rsidR="006B5ABD" w:rsidRPr="006F6A5F">
        <w:rPr>
          <w:u w:val="single"/>
        </w:rPr>
        <w:t>Medications</w:t>
      </w:r>
      <w:r w:rsidRPr="006F6A5F">
        <w:tab/>
      </w:r>
      <w:r w:rsidRPr="006F6A5F">
        <w:rPr>
          <w:u w:val="single"/>
        </w:rPr>
        <w:t>30-day Supply</w:t>
      </w:r>
      <w:r w:rsidRPr="006F6A5F">
        <w:tab/>
      </w:r>
      <w:r w:rsidRPr="006F6A5F">
        <w:tab/>
      </w:r>
      <w:r w:rsidRPr="006F6A5F">
        <w:tab/>
      </w:r>
      <w:r w:rsidRPr="006F6A5F">
        <w:rPr>
          <w:u w:val="single"/>
        </w:rPr>
        <w:t>90-day Supply</w:t>
      </w:r>
    </w:p>
    <w:p w14:paraId="2B7B6B4E" w14:textId="77777777" w:rsidR="00372450" w:rsidRPr="006F6A5F"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F6A5F">
        <w:t>Generics</w:t>
      </w:r>
      <w:r w:rsidRPr="006F6A5F">
        <w:tab/>
      </w:r>
      <w:r w:rsidRPr="006F6A5F">
        <w:tab/>
      </w:r>
      <w:r w:rsidRPr="006F6A5F">
        <w:tab/>
        <w:t>10% to $</w:t>
      </w:r>
      <w:r w:rsidR="00A14EF7" w:rsidRPr="006F6A5F">
        <w:t xml:space="preserve">25 </w:t>
      </w:r>
      <w:r w:rsidRPr="006F6A5F">
        <w:t>maximum</w:t>
      </w:r>
      <w:r w:rsidRPr="006F6A5F">
        <w:tab/>
      </w:r>
      <w:r w:rsidR="00A14EF7" w:rsidRPr="006F6A5F">
        <w:tab/>
      </w:r>
      <w:r w:rsidRPr="006F6A5F">
        <w:t>10% to $</w:t>
      </w:r>
      <w:r w:rsidR="00A14EF7" w:rsidRPr="006F6A5F">
        <w:t xml:space="preserve">60 </w:t>
      </w:r>
      <w:r w:rsidRPr="006F6A5F">
        <w:t>maximum</w:t>
      </w:r>
    </w:p>
    <w:p w14:paraId="38D05552" w14:textId="77777777" w:rsidR="00372450" w:rsidRPr="006F6A5F"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F6A5F">
        <w:t>Brand Preferred</w:t>
      </w:r>
      <w:r w:rsidRPr="006F6A5F">
        <w:tab/>
      </w:r>
      <w:r w:rsidRPr="006F6A5F">
        <w:tab/>
        <w:t>25% to $</w:t>
      </w:r>
      <w:r w:rsidR="00A14EF7" w:rsidRPr="006F6A5F">
        <w:t xml:space="preserve">70 </w:t>
      </w:r>
      <w:r w:rsidRPr="006F6A5F">
        <w:t>maximum</w:t>
      </w:r>
      <w:r w:rsidRPr="006F6A5F">
        <w:tab/>
      </w:r>
      <w:r w:rsidR="00A14EF7" w:rsidRPr="006F6A5F">
        <w:tab/>
      </w:r>
      <w:r w:rsidRPr="006F6A5F">
        <w:t>25% to $</w:t>
      </w:r>
      <w:r w:rsidR="00A14EF7" w:rsidRPr="006F6A5F">
        <w:t xml:space="preserve">175 </w:t>
      </w:r>
      <w:r w:rsidRPr="006F6A5F">
        <w:t>maximum</w:t>
      </w:r>
    </w:p>
    <w:p w14:paraId="2B65F74B" w14:textId="77777777" w:rsidR="00372450" w:rsidRPr="006F6A5F"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F6A5F">
        <w:t>Brand Non-preferred</w:t>
      </w:r>
      <w:r w:rsidRPr="006F6A5F">
        <w:tab/>
      </w:r>
      <w:r w:rsidRPr="006F6A5F">
        <w:tab/>
        <w:t>40% to $</w:t>
      </w:r>
      <w:r w:rsidR="00A14EF7" w:rsidRPr="006F6A5F">
        <w:t xml:space="preserve">120 </w:t>
      </w:r>
      <w:r w:rsidRPr="006F6A5F">
        <w:t>maximum</w:t>
      </w:r>
      <w:r w:rsidRPr="006F6A5F">
        <w:tab/>
        <w:t>40% to $</w:t>
      </w:r>
      <w:r w:rsidR="00A14EF7" w:rsidRPr="006F6A5F">
        <w:t xml:space="preserve">300 </w:t>
      </w:r>
      <w:r w:rsidRPr="006F6A5F">
        <w:t>maximum</w:t>
      </w:r>
    </w:p>
    <w:p w14:paraId="01CCBD2F" w14:textId="77777777" w:rsidR="00372450" w:rsidRPr="006C6DF2" w:rsidRDefault="00AE5063">
      <w:r w:rsidRPr="006C6DF2">
        <w:t xml:space="preserve">Specialty medications </w:t>
      </w:r>
      <w:r w:rsidR="00C45AE6" w:rsidRPr="006C6DF2">
        <w:t>are m</w:t>
      </w:r>
      <w:r w:rsidR="000729C0" w:rsidRPr="006C6DF2">
        <w:t xml:space="preserve">anaged through </w:t>
      </w:r>
      <w:r w:rsidR="00FD3377" w:rsidRPr="006C6DF2">
        <w:t>CVS/caremark</w:t>
      </w:r>
      <w:r w:rsidR="000729C0" w:rsidRPr="006C6DF2">
        <w:t>'s Specialty</w:t>
      </w:r>
      <w:r w:rsidR="00FE484A" w:rsidRPr="006C6DF2">
        <w:t xml:space="preserve"> Pharmacy and are subject to different coinsurance and copay maximums.  </w:t>
      </w:r>
    </w:p>
    <w:p w14:paraId="26826BBF" w14:textId="77777777" w:rsidR="00372450" w:rsidRPr="006C6DF2"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C6DF2">
        <w:rPr>
          <w:u w:val="single"/>
        </w:rPr>
        <w:t>Specialty</w:t>
      </w:r>
      <w:r w:rsidR="006B5ABD" w:rsidRPr="006C6DF2">
        <w:rPr>
          <w:u w:val="single"/>
        </w:rPr>
        <w:t xml:space="preserve"> Medications</w:t>
      </w:r>
      <w:r w:rsidR="006B5ABD" w:rsidRPr="006C6DF2">
        <w:tab/>
      </w:r>
      <w:r w:rsidR="006B5ABD" w:rsidRPr="006C6DF2">
        <w:tab/>
      </w:r>
      <w:r w:rsidRPr="006C6DF2">
        <w:rPr>
          <w:u w:val="single"/>
        </w:rPr>
        <w:t>30-day Supply</w:t>
      </w:r>
      <w:r w:rsidRPr="006C6DF2">
        <w:tab/>
      </w:r>
      <w:r w:rsidRPr="006C6DF2">
        <w:tab/>
      </w:r>
      <w:r w:rsidRPr="006C6DF2">
        <w:tab/>
      </w:r>
      <w:r w:rsidRPr="006C6DF2">
        <w:rPr>
          <w:u w:val="single"/>
        </w:rPr>
        <w:t>90-day Supply</w:t>
      </w:r>
    </w:p>
    <w:p w14:paraId="746C56A7" w14:textId="77777777" w:rsidR="00372450" w:rsidRPr="006C6DF2"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C6DF2">
        <w:t>Generics</w:t>
      </w:r>
      <w:r w:rsidRPr="006C6DF2">
        <w:tab/>
      </w:r>
      <w:r w:rsidRPr="006C6DF2">
        <w:tab/>
      </w:r>
      <w:r w:rsidRPr="006C6DF2">
        <w:tab/>
      </w:r>
      <w:r w:rsidR="002A6753" w:rsidRPr="006C6DF2">
        <w:t>5</w:t>
      </w:r>
      <w:r w:rsidRPr="006C6DF2">
        <w:t>% to $</w:t>
      </w:r>
      <w:r w:rsidR="0035584B" w:rsidRPr="006C6DF2">
        <w:t xml:space="preserve">50 </w:t>
      </w:r>
      <w:r w:rsidRPr="006C6DF2">
        <w:t>maximum</w:t>
      </w:r>
      <w:r w:rsidRPr="006C6DF2">
        <w:tab/>
      </w:r>
      <w:r w:rsidR="002A6753" w:rsidRPr="006C6DF2">
        <w:tab/>
        <w:t>5</w:t>
      </w:r>
      <w:r w:rsidRPr="006C6DF2">
        <w:t>% to $</w:t>
      </w:r>
      <w:r w:rsidR="0035584B" w:rsidRPr="006C6DF2">
        <w:t xml:space="preserve">75 </w:t>
      </w:r>
      <w:r w:rsidRPr="006C6DF2">
        <w:t>maximum</w:t>
      </w:r>
    </w:p>
    <w:p w14:paraId="7B453475" w14:textId="77777777" w:rsidR="00372450" w:rsidRPr="006C6DF2"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C6DF2">
        <w:t>Brand Preferred</w:t>
      </w:r>
      <w:r w:rsidRPr="006C6DF2">
        <w:tab/>
      </w:r>
      <w:r w:rsidRPr="006C6DF2">
        <w:tab/>
        <w:t>25% to $</w:t>
      </w:r>
      <w:r w:rsidR="0035584B" w:rsidRPr="006C6DF2">
        <w:t xml:space="preserve">100 </w:t>
      </w:r>
      <w:r w:rsidRPr="006C6DF2">
        <w:t>maximum</w:t>
      </w:r>
      <w:r w:rsidRPr="006C6DF2">
        <w:tab/>
        <w:t>25% to $</w:t>
      </w:r>
      <w:r w:rsidR="0035584B" w:rsidRPr="006C6DF2">
        <w:t xml:space="preserve">150 </w:t>
      </w:r>
      <w:r w:rsidRPr="006C6DF2">
        <w:t>maximum</w:t>
      </w:r>
    </w:p>
    <w:p w14:paraId="28FA6D02" w14:textId="77777777" w:rsidR="00372450" w:rsidRDefault="00372450" w:rsidP="00CD0EE3">
      <w:pPr>
        <w:pBdr>
          <w:top w:val="single" w:sz="4" w:space="1" w:color="auto"/>
          <w:left w:val="single" w:sz="4" w:space="4" w:color="auto"/>
          <w:bottom w:val="single" w:sz="4" w:space="1" w:color="auto"/>
          <w:right w:val="single" w:sz="4" w:space="4" w:color="auto"/>
          <w:between w:val="single" w:sz="4" w:space="1" w:color="auto"/>
          <w:bar w:val="single" w:sz="4" w:color="auto"/>
        </w:pBdr>
      </w:pPr>
      <w:r w:rsidRPr="006C6DF2">
        <w:t>Brand Non-preferred</w:t>
      </w:r>
      <w:r w:rsidRPr="006C6DF2">
        <w:tab/>
      </w:r>
      <w:r w:rsidRPr="006C6DF2">
        <w:tab/>
        <w:t>40% to $</w:t>
      </w:r>
      <w:r w:rsidR="0035584B" w:rsidRPr="006C6DF2">
        <w:t xml:space="preserve">150 </w:t>
      </w:r>
      <w:r w:rsidRPr="006C6DF2">
        <w:t>maximum</w:t>
      </w:r>
      <w:r w:rsidRPr="006C6DF2">
        <w:tab/>
        <w:t>40% to $</w:t>
      </w:r>
      <w:r w:rsidR="0035584B" w:rsidRPr="006C6DF2">
        <w:t xml:space="preserve">225 </w:t>
      </w:r>
      <w:r w:rsidRPr="006C6DF2">
        <w:t>maximum</w:t>
      </w:r>
    </w:p>
    <w:p w14:paraId="2A34ACFC" w14:textId="77777777" w:rsidR="00AE5063" w:rsidRDefault="00FE484A">
      <w:r>
        <w:t xml:space="preserve"> </w:t>
      </w:r>
    </w:p>
    <w:p w14:paraId="41DD0F6C" w14:textId="77777777" w:rsidR="0079296B" w:rsidRDefault="00FD3377">
      <w:pPr>
        <w:pStyle w:val="Heading3"/>
      </w:pPr>
      <w:bookmarkStart w:id="202" w:name="_Toc514121336"/>
      <w:bookmarkStart w:id="203" w:name="_Toc514121625"/>
      <w:bookmarkStart w:id="204" w:name="_Toc514121702"/>
      <w:bookmarkStart w:id="205" w:name="_Toc514122621"/>
      <w:bookmarkStart w:id="206" w:name="_Toc514241161"/>
      <w:bookmarkStart w:id="207" w:name="_Toc514287974"/>
      <w:bookmarkStart w:id="208" w:name="_Toc514312369"/>
      <w:bookmarkStart w:id="209" w:name="_Toc514373608"/>
      <w:bookmarkStart w:id="210" w:name="_Toc514487509"/>
      <w:bookmarkStart w:id="211" w:name="_Toc514489817"/>
      <w:bookmarkStart w:id="212" w:name="_Toc514490266"/>
      <w:bookmarkStart w:id="213" w:name="_Toc514562078"/>
      <w:bookmarkStart w:id="214" w:name="_Toc9618535"/>
      <w:r>
        <w:lastRenderedPageBreak/>
        <w:t>CVS/caremark</w:t>
      </w:r>
      <w:r w:rsidR="0079296B">
        <w:t xml:space="preserve"> Out-of-Pocket Maximum Coordination</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58A56DD6" w14:textId="77777777" w:rsidR="0079296B" w:rsidRDefault="00FD3377">
      <w:r>
        <w:t>CVS/caremark</w:t>
      </w:r>
      <w:r w:rsidR="0079296B">
        <w:t xml:space="preserve"> administers a separate out-of-pocket limit for each MIP participant on all </w:t>
      </w:r>
      <w:r w:rsidR="0079296B" w:rsidRPr="00AA3573">
        <w:t>prescription</w:t>
      </w:r>
      <w:r w:rsidR="0079296B">
        <w:t xml:space="preserve"> drug purchases at </w:t>
      </w:r>
      <w:r>
        <w:t>CVS/caremark</w:t>
      </w:r>
      <w:r w:rsidR="0079296B">
        <w:t>-affiliated pharmacies.</w:t>
      </w:r>
      <w:r w:rsidR="0079296B">
        <w:rPr>
          <w:rStyle w:val="FootnoteReference"/>
        </w:rPr>
        <w:footnoteReference w:id="5"/>
      </w:r>
      <w:r w:rsidR="0079296B">
        <w:t xml:space="preserve">  For Domestic Administrator participants, the medical out-of-pocket limit and the </w:t>
      </w:r>
      <w:r>
        <w:t>CVS/caremark</w:t>
      </w:r>
      <w:r w:rsidR="0079296B">
        <w:t xml:space="preserve"> out-of-pocket limit are administered independently by Aetna and </w:t>
      </w:r>
      <w:r>
        <w:t>CVS/caremark</w:t>
      </w:r>
      <w:r w:rsidR="0079296B">
        <w:t xml:space="preserve">, respectively.  For International Administrator participants, </w:t>
      </w:r>
      <w:r>
        <w:t>CVS/caremark</w:t>
      </w:r>
      <w:r w:rsidR="0079296B">
        <w:t xml:space="preserve"> will send pharmacy purchase information to </w:t>
      </w:r>
      <w:r w:rsidR="002C4482">
        <w:t>Cigna</w:t>
      </w:r>
      <w:r w:rsidR="0079296B">
        <w:t xml:space="preserve"> annually for reconciliation.  International Administrator participants who met their medical out-of-pocket expenses during a calendar year and who also had </w:t>
      </w:r>
      <w:r>
        <w:t>CVS/caremark</w:t>
      </w:r>
      <w:r w:rsidR="0079296B">
        <w:t xml:space="preserve"> out-of-pocket expenses for drug purchases during the same calendar year will receive reimbursement of the out-of-pocket </w:t>
      </w:r>
      <w:r>
        <w:t>CVS/caremark</w:t>
      </w:r>
      <w:r w:rsidR="0079296B">
        <w:t xml:space="preserve"> costs from </w:t>
      </w:r>
      <w:r w:rsidR="002C4482">
        <w:t>Cigna</w:t>
      </w:r>
      <w:r w:rsidR="0079296B">
        <w:t xml:space="preserve"> after the reconciliation.</w:t>
      </w:r>
      <w:r w:rsidR="0079296B">
        <w:rPr>
          <w:rStyle w:val="FootnoteReference"/>
        </w:rPr>
        <w:footnoteReference w:id="6"/>
      </w:r>
      <w:r w:rsidR="0079296B">
        <w:t xml:space="preserve">  A similar reconciliation will be conducted annually for Domestic Administrator participants who switched from the International Administrator during a calendar year.</w:t>
      </w:r>
      <w:bookmarkStart w:id="215" w:name="_Toc511095364"/>
      <w:bookmarkStart w:id="216" w:name="_Toc514121337"/>
      <w:bookmarkStart w:id="217" w:name="_Toc514121626"/>
      <w:bookmarkStart w:id="218" w:name="_Toc514121703"/>
      <w:bookmarkStart w:id="219" w:name="_Toc514122622"/>
      <w:bookmarkStart w:id="220" w:name="_Toc514241162"/>
    </w:p>
    <w:p w14:paraId="5D738F25" w14:textId="77777777" w:rsidR="0079296B" w:rsidRDefault="0079296B">
      <w:pPr>
        <w:pStyle w:val="Heading1"/>
      </w:pPr>
      <w:bookmarkStart w:id="221" w:name="_Toc514287975"/>
      <w:bookmarkStart w:id="222" w:name="_Toc514312370"/>
      <w:bookmarkStart w:id="223" w:name="_Toc514373609"/>
      <w:bookmarkStart w:id="224" w:name="_Toc514487510"/>
      <w:bookmarkStart w:id="225" w:name="_Toc514489818"/>
      <w:bookmarkStart w:id="226" w:name="_Toc514490267"/>
      <w:bookmarkStart w:id="227" w:name="_Toc514562079"/>
      <w:bookmarkStart w:id="228" w:name="_Toc9618536"/>
      <w:r>
        <w:t>Identification Cards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5476791" w14:textId="77777777" w:rsidR="0079296B" w:rsidRDefault="0079296B">
      <w:r>
        <w:t xml:space="preserve">Aetna and </w:t>
      </w:r>
      <w:r w:rsidR="002C4482">
        <w:t>Cigna</w:t>
      </w:r>
      <w:r>
        <w:t xml:space="preserve"> have different, mutually-exclusive MIP identification cards.  Participants who elect the International Administrator will receive a </w:t>
      </w:r>
      <w:r w:rsidR="002C4482">
        <w:t>Cigna</w:t>
      </w:r>
      <w:r>
        <w:t xml:space="preserve"> card.  These participants are no longer enrolled in the Domestic MIP and should destroy their Aetna MIP cards upon receipt of their </w:t>
      </w:r>
      <w:r w:rsidR="002C4482">
        <w:t>Cigna</w:t>
      </w:r>
      <w:r>
        <w:t xml:space="preserve"> MIP cards.</w:t>
      </w:r>
    </w:p>
    <w:p w14:paraId="0F5CF973" w14:textId="77777777" w:rsidR="0079296B" w:rsidRDefault="0079296B">
      <w:r>
        <w:t xml:space="preserve">In addition, for “in-network” services within the U.S., International Administrator participants will also receive an </w:t>
      </w:r>
      <w:r w:rsidR="00F25648">
        <w:t>Aetna Open Choice PPO</w:t>
      </w:r>
      <w:r>
        <w:t xml:space="preserve"> identification card.  This card can only be used in the U.S. at </w:t>
      </w:r>
      <w:r w:rsidR="00F25648">
        <w:t>Aetna Open Choice PPO</w:t>
      </w:r>
      <w:r>
        <w:t xml:space="preserve"> providers.</w:t>
      </w:r>
    </w:p>
    <w:p w14:paraId="7CDA6719" w14:textId="77777777" w:rsidR="0079296B" w:rsidRDefault="0079296B">
      <w:r>
        <w:t xml:space="preserve">Both Domestic and International participants will continue to use their </w:t>
      </w:r>
      <w:r w:rsidR="00FD3377">
        <w:t>CVS/caremark</w:t>
      </w:r>
      <w:r>
        <w:t xml:space="preserve"> card for any prescription drug purchases in the U.S. at </w:t>
      </w:r>
      <w:r w:rsidR="00FD3377">
        <w:t>CVS/caremark</w:t>
      </w:r>
      <w:r>
        <w:t>-affiliated pharmacies.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28"/>
        <w:gridCol w:w="1080"/>
        <w:gridCol w:w="1575"/>
        <w:gridCol w:w="2089"/>
      </w:tblGrid>
      <w:tr w:rsidR="0079296B" w14:paraId="75752876" w14:textId="77777777">
        <w:trPr>
          <w:cantSplit/>
        </w:trPr>
        <w:tc>
          <w:tcPr>
            <w:tcW w:w="2628" w:type="dxa"/>
            <w:tcBorders>
              <w:top w:val="single" w:sz="12" w:space="0" w:color="auto"/>
              <w:left w:val="single" w:sz="12" w:space="0" w:color="auto"/>
              <w:bottom w:val="single" w:sz="12" w:space="0" w:color="auto"/>
              <w:right w:val="single" w:sz="12" w:space="0" w:color="auto"/>
            </w:tcBorders>
            <w:vAlign w:val="center"/>
          </w:tcPr>
          <w:p w14:paraId="61B21E5E" w14:textId="77777777" w:rsidR="0079296B" w:rsidRDefault="0079296B">
            <w:pPr>
              <w:spacing w:before="0" w:beforeAutospacing="0" w:after="0" w:afterAutospacing="0"/>
              <w:jc w:val="center"/>
              <w:rPr>
                <w:sz w:val="18"/>
              </w:rPr>
            </w:pPr>
            <w:r>
              <w:rPr>
                <w:sz w:val="18"/>
              </w:rPr>
              <w:t>Services</w:t>
            </w:r>
          </w:p>
        </w:tc>
        <w:tc>
          <w:tcPr>
            <w:tcW w:w="1080" w:type="dxa"/>
            <w:tcBorders>
              <w:top w:val="single" w:sz="12" w:space="0" w:color="auto"/>
              <w:left w:val="single" w:sz="12" w:space="0" w:color="auto"/>
              <w:bottom w:val="single" w:sz="12" w:space="0" w:color="auto"/>
              <w:right w:val="single" w:sz="12" w:space="0" w:color="auto"/>
            </w:tcBorders>
            <w:vAlign w:val="center"/>
          </w:tcPr>
          <w:p w14:paraId="0943F8C2" w14:textId="77777777" w:rsidR="0079296B" w:rsidRDefault="0079296B">
            <w:pPr>
              <w:spacing w:before="0" w:beforeAutospacing="0" w:after="0" w:afterAutospacing="0"/>
              <w:jc w:val="center"/>
              <w:rPr>
                <w:sz w:val="18"/>
              </w:rPr>
            </w:pPr>
            <w:r>
              <w:rPr>
                <w:sz w:val="18"/>
              </w:rPr>
              <w:t>Country</w:t>
            </w:r>
          </w:p>
        </w:tc>
        <w:tc>
          <w:tcPr>
            <w:tcW w:w="1575" w:type="dxa"/>
            <w:tcBorders>
              <w:top w:val="single" w:sz="12" w:space="0" w:color="auto"/>
              <w:left w:val="single" w:sz="12" w:space="0" w:color="auto"/>
              <w:bottom w:val="single" w:sz="12" w:space="0" w:color="auto"/>
              <w:right w:val="single" w:sz="4" w:space="0" w:color="auto"/>
            </w:tcBorders>
            <w:vAlign w:val="center"/>
          </w:tcPr>
          <w:p w14:paraId="0FAAE094" w14:textId="77777777" w:rsidR="0079296B" w:rsidRDefault="0079296B">
            <w:pPr>
              <w:spacing w:before="0" w:beforeAutospacing="0" w:after="0" w:afterAutospacing="0"/>
              <w:jc w:val="center"/>
              <w:rPr>
                <w:sz w:val="18"/>
              </w:rPr>
            </w:pPr>
            <w:r>
              <w:rPr>
                <w:sz w:val="18"/>
              </w:rPr>
              <w:t>Domestic Administrator (Aetna)</w:t>
            </w:r>
          </w:p>
        </w:tc>
        <w:tc>
          <w:tcPr>
            <w:tcW w:w="2089" w:type="dxa"/>
            <w:tcBorders>
              <w:top w:val="single" w:sz="12" w:space="0" w:color="auto"/>
              <w:left w:val="single" w:sz="4" w:space="0" w:color="auto"/>
              <w:bottom w:val="single" w:sz="12" w:space="0" w:color="auto"/>
              <w:right w:val="single" w:sz="12" w:space="0" w:color="auto"/>
            </w:tcBorders>
            <w:vAlign w:val="center"/>
          </w:tcPr>
          <w:p w14:paraId="297646CA" w14:textId="77777777" w:rsidR="0079296B" w:rsidRDefault="0079296B">
            <w:pPr>
              <w:spacing w:before="0" w:beforeAutospacing="0" w:after="0" w:afterAutospacing="0"/>
              <w:jc w:val="center"/>
              <w:rPr>
                <w:sz w:val="18"/>
                <w:lang w:val="es-ES"/>
              </w:rPr>
            </w:pPr>
            <w:r>
              <w:rPr>
                <w:sz w:val="18"/>
                <w:lang w:val="es-ES"/>
              </w:rPr>
              <w:t xml:space="preserve">International </w:t>
            </w:r>
            <w:proofErr w:type="spellStart"/>
            <w:r>
              <w:rPr>
                <w:sz w:val="18"/>
                <w:lang w:val="es-ES"/>
              </w:rPr>
              <w:t>Administrator</w:t>
            </w:r>
            <w:proofErr w:type="spellEnd"/>
          </w:p>
          <w:p w14:paraId="39866FA0" w14:textId="77777777" w:rsidR="0079296B" w:rsidRDefault="0079296B">
            <w:pPr>
              <w:spacing w:before="0" w:beforeAutospacing="0" w:after="0" w:afterAutospacing="0"/>
              <w:jc w:val="center"/>
              <w:rPr>
                <w:sz w:val="18"/>
                <w:lang w:val="es-ES"/>
              </w:rPr>
            </w:pPr>
            <w:r>
              <w:rPr>
                <w:sz w:val="18"/>
              </w:rPr>
              <w:t>(</w:t>
            </w:r>
            <w:r w:rsidR="002C4482">
              <w:rPr>
                <w:sz w:val="18"/>
              </w:rPr>
              <w:t>Cigna</w:t>
            </w:r>
            <w:r>
              <w:rPr>
                <w:sz w:val="18"/>
              </w:rPr>
              <w:t>)</w:t>
            </w:r>
          </w:p>
        </w:tc>
      </w:tr>
      <w:tr w:rsidR="0079296B" w14:paraId="04E64636" w14:textId="77777777">
        <w:trPr>
          <w:cantSplit/>
        </w:trPr>
        <w:tc>
          <w:tcPr>
            <w:tcW w:w="2628" w:type="dxa"/>
            <w:tcBorders>
              <w:top w:val="single" w:sz="12" w:space="0" w:color="auto"/>
              <w:left w:val="single" w:sz="12" w:space="0" w:color="auto"/>
              <w:right w:val="single" w:sz="12" w:space="0" w:color="auto"/>
            </w:tcBorders>
            <w:vAlign w:val="center"/>
          </w:tcPr>
          <w:p w14:paraId="2A9E20D1" w14:textId="77777777" w:rsidR="0079296B" w:rsidRDefault="0079296B">
            <w:pPr>
              <w:pStyle w:val="Referencestyle"/>
              <w:spacing w:before="0" w:beforeAutospacing="0" w:after="0" w:afterAutospacing="0"/>
              <w:jc w:val="center"/>
              <w:rPr>
                <w:sz w:val="18"/>
              </w:rPr>
            </w:pPr>
            <w:r>
              <w:rPr>
                <w:sz w:val="18"/>
              </w:rPr>
              <w:t>Medical services (in network)</w:t>
            </w:r>
          </w:p>
        </w:tc>
        <w:tc>
          <w:tcPr>
            <w:tcW w:w="1080" w:type="dxa"/>
            <w:tcBorders>
              <w:top w:val="single" w:sz="12" w:space="0" w:color="auto"/>
              <w:left w:val="single" w:sz="12" w:space="0" w:color="auto"/>
              <w:right w:val="single" w:sz="12" w:space="0" w:color="auto"/>
            </w:tcBorders>
            <w:vAlign w:val="center"/>
          </w:tcPr>
          <w:p w14:paraId="0F5DC5C6" w14:textId="77777777" w:rsidR="0079296B" w:rsidRDefault="0079296B">
            <w:pPr>
              <w:spacing w:before="0" w:beforeAutospacing="0" w:after="0" w:afterAutospacing="0"/>
              <w:jc w:val="center"/>
              <w:rPr>
                <w:sz w:val="18"/>
              </w:rPr>
            </w:pPr>
            <w:r>
              <w:rPr>
                <w:sz w:val="18"/>
              </w:rPr>
              <w:t>U.S.</w:t>
            </w:r>
          </w:p>
        </w:tc>
        <w:tc>
          <w:tcPr>
            <w:tcW w:w="1575" w:type="dxa"/>
            <w:vMerge w:val="restart"/>
            <w:tcBorders>
              <w:top w:val="single" w:sz="12" w:space="0" w:color="auto"/>
              <w:left w:val="single" w:sz="12" w:space="0" w:color="auto"/>
              <w:right w:val="single" w:sz="4" w:space="0" w:color="auto"/>
            </w:tcBorders>
            <w:vAlign w:val="center"/>
          </w:tcPr>
          <w:p w14:paraId="1B78FA39" w14:textId="77777777" w:rsidR="0079296B" w:rsidRDefault="0079296B">
            <w:pPr>
              <w:spacing w:before="0" w:beforeAutospacing="0" w:after="0" w:afterAutospacing="0"/>
              <w:jc w:val="center"/>
              <w:rPr>
                <w:sz w:val="18"/>
              </w:rPr>
            </w:pPr>
            <w:r>
              <w:rPr>
                <w:sz w:val="18"/>
              </w:rPr>
              <w:t>Aetna ID card</w:t>
            </w:r>
          </w:p>
        </w:tc>
        <w:tc>
          <w:tcPr>
            <w:tcW w:w="2089" w:type="dxa"/>
            <w:tcBorders>
              <w:top w:val="single" w:sz="12" w:space="0" w:color="auto"/>
              <w:left w:val="single" w:sz="4" w:space="0" w:color="auto"/>
              <w:right w:val="single" w:sz="12" w:space="0" w:color="auto"/>
            </w:tcBorders>
            <w:vAlign w:val="center"/>
          </w:tcPr>
          <w:p w14:paraId="0B242684" w14:textId="77777777" w:rsidR="0079296B" w:rsidRDefault="00F25648" w:rsidP="00242360">
            <w:pPr>
              <w:spacing w:before="0" w:beforeAutospacing="0" w:after="0" w:afterAutospacing="0"/>
              <w:jc w:val="center"/>
              <w:rPr>
                <w:sz w:val="18"/>
              </w:rPr>
            </w:pPr>
            <w:r>
              <w:rPr>
                <w:sz w:val="18"/>
              </w:rPr>
              <w:t>Aetna Open Choice PPO</w:t>
            </w:r>
          </w:p>
        </w:tc>
      </w:tr>
      <w:tr w:rsidR="0079296B" w14:paraId="32117ADD" w14:textId="77777777">
        <w:trPr>
          <w:cantSplit/>
        </w:trPr>
        <w:tc>
          <w:tcPr>
            <w:tcW w:w="2628" w:type="dxa"/>
            <w:tcBorders>
              <w:left w:val="single" w:sz="12" w:space="0" w:color="auto"/>
              <w:right w:val="single" w:sz="12" w:space="0" w:color="auto"/>
            </w:tcBorders>
            <w:vAlign w:val="center"/>
          </w:tcPr>
          <w:p w14:paraId="11203832" w14:textId="77777777" w:rsidR="0079296B" w:rsidRDefault="0079296B">
            <w:pPr>
              <w:pStyle w:val="Referencestyle"/>
              <w:spacing w:before="0" w:beforeAutospacing="0" w:after="0" w:afterAutospacing="0"/>
              <w:jc w:val="center"/>
              <w:rPr>
                <w:sz w:val="18"/>
              </w:rPr>
            </w:pPr>
            <w:r>
              <w:rPr>
                <w:sz w:val="18"/>
              </w:rPr>
              <w:t>Medical services (non-network)</w:t>
            </w:r>
          </w:p>
        </w:tc>
        <w:tc>
          <w:tcPr>
            <w:tcW w:w="1080" w:type="dxa"/>
            <w:tcBorders>
              <w:left w:val="single" w:sz="12" w:space="0" w:color="auto"/>
              <w:right w:val="single" w:sz="12" w:space="0" w:color="auto"/>
            </w:tcBorders>
            <w:vAlign w:val="center"/>
          </w:tcPr>
          <w:p w14:paraId="1C18A0F2" w14:textId="77777777" w:rsidR="0079296B" w:rsidRDefault="0079296B">
            <w:pPr>
              <w:spacing w:before="0" w:beforeAutospacing="0" w:after="0" w:afterAutospacing="0"/>
              <w:jc w:val="center"/>
              <w:rPr>
                <w:sz w:val="18"/>
              </w:rPr>
            </w:pPr>
            <w:r>
              <w:rPr>
                <w:sz w:val="18"/>
              </w:rPr>
              <w:t>U.S.</w:t>
            </w:r>
          </w:p>
        </w:tc>
        <w:tc>
          <w:tcPr>
            <w:tcW w:w="1575" w:type="dxa"/>
            <w:vMerge/>
            <w:tcBorders>
              <w:left w:val="single" w:sz="12" w:space="0" w:color="auto"/>
              <w:right w:val="single" w:sz="4" w:space="0" w:color="auto"/>
            </w:tcBorders>
            <w:vAlign w:val="center"/>
          </w:tcPr>
          <w:p w14:paraId="77E32207" w14:textId="77777777" w:rsidR="0079296B" w:rsidRDefault="0079296B">
            <w:pPr>
              <w:spacing w:before="0" w:beforeAutospacing="0" w:after="0" w:afterAutospacing="0"/>
              <w:jc w:val="center"/>
              <w:rPr>
                <w:sz w:val="18"/>
              </w:rPr>
            </w:pPr>
          </w:p>
        </w:tc>
        <w:tc>
          <w:tcPr>
            <w:tcW w:w="2089" w:type="dxa"/>
            <w:vMerge w:val="restart"/>
            <w:tcBorders>
              <w:left w:val="single" w:sz="4" w:space="0" w:color="auto"/>
              <w:right w:val="single" w:sz="12" w:space="0" w:color="auto"/>
            </w:tcBorders>
            <w:vAlign w:val="center"/>
          </w:tcPr>
          <w:p w14:paraId="5F9D56A2" w14:textId="77777777" w:rsidR="0079296B" w:rsidRDefault="002C4482">
            <w:pPr>
              <w:spacing w:before="0" w:beforeAutospacing="0" w:after="0" w:afterAutospacing="0"/>
              <w:jc w:val="center"/>
              <w:rPr>
                <w:sz w:val="18"/>
                <w:lang w:val="es-ES"/>
              </w:rPr>
            </w:pPr>
            <w:proofErr w:type="spellStart"/>
            <w:r>
              <w:rPr>
                <w:sz w:val="18"/>
                <w:lang w:val="es-ES"/>
              </w:rPr>
              <w:t>Cigna</w:t>
            </w:r>
            <w:proofErr w:type="spellEnd"/>
            <w:r w:rsidR="0079296B">
              <w:rPr>
                <w:sz w:val="18"/>
                <w:lang w:val="es-ES"/>
              </w:rPr>
              <w:t xml:space="preserve"> </w:t>
            </w:r>
            <w:proofErr w:type="spellStart"/>
            <w:r w:rsidR="0079296B">
              <w:rPr>
                <w:sz w:val="18"/>
                <w:lang w:val="es-ES"/>
              </w:rPr>
              <w:t>card</w:t>
            </w:r>
            <w:proofErr w:type="spellEnd"/>
          </w:p>
        </w:tc>
      </w:tr>
      <w:tr w:rsidR="0079296B" w14:paraId="1C7ADFB1" w14:textId="77777777">
        <w:trPr>
          <w:cantSplit/>
        </w:trPr>
        <w:tc>
          <w:tcPr>
            <w:tcW w:w="2628" w:type="dxa"/>
            <w:tcBorders>
              <w:left w:val="single" w:sz="12" w:space="0" w:color="auto"/>
              <w:bottom w:val="single" w:sz="12" w:space="0" w:color="auto"/>
              <w:right w:val="single" w:sz="12" w:space="0" w:color="auto"/>
            </w:tcBorders>
            <w:vAlign w:val="center"/>
          </w:tcPr>
          <w:p w14:paraId="63A34D58" w14:textId="77777777" w:rsidR="0079296B" w:rsidRDefault="0079296B">
            <w:pPr>
              <w:pStyle w:val="Referencestyle"/>
              <w:spacing w:before="0" w:beforeAutospacing="0" w:after="0" w:afterAutospacing="0"/>
              <w:jc w:val="center"/>
              <w:rPr>
                <w:sz w:val="18"/>
              </w:rPr>
            </w:pPr>
            <w:r>
              <w:rPr>
                <w:sz w:val="18"/>
              </w:rPr>
              <w:t>Medical services (other)</w:t>
            </w:r>
          </w:p>
        </w:tc>
        <w:tc>
          <w:tcPr>
            <w:tcW w:w="1080" w:type="dxa"/>
            <w:tcBorders>
              <w:left w:val="single" w:sz="12" w:space="0" w:color="auto"/>
              <w:bottom w:val="single" w:sz="12" w:space="0" w:color="auto"/>
              <w:right w:val="single" w:sz="12" w:space="0" w:color="auto"/>
            </w:tcBorders>
            <w:vAlign w:val="center"/>
          </w:tcPr>
          <w:p w14:paraId="0ADB19BD" w14:textId="77777777" w:rsidR="0079296B" w:rsidRDefault="0079296B">
            <w:pPr>
              <w:spacing w:before="0" w:beforeAutospacing="0" w:after="0" w:afterAutospacing="0"/>
              <w:jc w:val="center"/>
              <w:rPr>
                <w:sz w:val="18"/>
              </w:rPr>
            </w:pPr>
            <w:r>
              <w:rPr>
                <w:sz w:val="18"/>
              </w:rPr>
              <w:t>Non-U.S.</w:t>
            </w:r>
          </w:p>
        </w:tc>
        <w:tc>
          <w:tcPr>
            <w:tcW w:w="1575" w:type="dxa"/>
            <w:vMerge/>
            <w:tcBorders>
              <w:left w:val="single" w:sz="12" w:space="0" w:color="auto"/>
              <w:bottom w:val="single" w:sz="12" w:space="0" w:color="auto"/>
              <w:right w:val="single" w:sz="4" w:space="0" w:color="auto"/>
            </w:tcBorders>
            <w:vAlign w:val="center"/>
          </w:tcPr>
          <w:p w14:paraId="1277294D" w14:textId="77777777" w:rsidR="0079296B" w:rsidRDefault="0079296B">
            <w:pPr>
              <w:spacing w:before="0" w:beforeAutospacing="0" w:after="0" w:afterAutospacing="0"/>
              <w:jc w:val="center"/>
              <w:rPr>
                <w:sz w:val="18"/>
              </w:rPr>
            </w:pPr>
          </w:p>
        </w:tc>
        <w:tc>
          <w:tcPr>
            <w:tcW w:w="2089" w:type="dxa"/>
            <w:vMerge/>
            <w:tcBorders>
              <w:left w:val="single" w:sz="4" w:space="0" w:color="auto"/>
              <w:bottom w:val="single" w:sz="4" w:space="0" w:color="auto"/>
              <w:right w:val="single" w:sz="12" w:space="0" w:color="auto"/>
            </w:tcBorders>
            <w:vAlign w:val="center"/>
          </w:tcPr>
          <w:p w14:paraId="007826F3" w14:textId="77777777" w:rsidR="0079296B" w:rsidRDefault="0079296B">
            <w:pPr>
              <w:spacing w:before="0" w:beforeAutospacing="0" w:after="0" w:afterAutospacing="0"/>
              <w:jc w:val="center"/>
              <w:rPr>
                <w:sz w:val="18"/>
              </w:rPr>
            </w:pPr>
          </w:p>
        </w:tc>
      </w:tr>
      <w:tr w:rsidR="0079296B" w14:paraId="706B65CD" w14:textId="77777777">
        <w:trPr>
          <w:cantSplit/>
        </w:trPr>
        <w:tc>
          <w:tcPr>
            <w:tcW w:w="2628" w:type="dxa"/>
            <w:tcBorders>
              <w:top w:val="single" w:sz="12" w:space="0" w:color="auto"/>
              <w:left w:val="single" w:sz="12" w:space="0" w:color="auto"/>
              <w:right w:val="single" w:sz="12" w:space="0" w:color="auto"/>
            </w:tcBorders>
            <w:vAlign w:val="center"/>
          </w:tcPr>
          <w:p w14:paraId="30E4519C" w14:textId="77777777" w:rsidR="0079296B" w:rsidRDefault="0079296B">
            <w:pPr>
              <w:spacing w:before="0" w:beforeAutospacing="0" w:after="0" w:afterAutospacing="0"/>
              <w:jc w:val="center"/>
              <w:rPr>
                <w:sz w:val="18"/>
              </w:rPr>
            </w:pPr>
            <w:r>
              <w:rPr>
                <w:sz w:val="18"/>
              </w:rPr>
              <w:lastRenderedPageBreak/>
              <w:t>Dental services (in network)</w:t>
            </w:r>
          </w:p>
        </w:tc>
        <w:tc>
          <w:tcPr>
            <w:tcW w:w="1080" w:type="dxa"/>
            <w:tcBorders>
              <w:top w:val="single" w:sz="12" w:space="0" w:color="auto"/>
              <w:left w:val="single" w:sz="12" w:space="0" w:color="auto"/>
              <w:right w:val="single" w:sz="12" w:space="0" w:color="auto"/>
            </w:tcBorders>
            <w:vAlign w:val="center"/>
          </w:tcPr>
          <w:p w14:paraId="421B9784" w14:textId="77777777" w:rsidR="0079296B" w:rsidRDefault="0079296B">
            <w:pPr>
              <w:spacing w:before="0" w:beforeAutospacing="0" w:after="0" w:afterAutospacing="0"/>
              <w:jc w:val="center"/>
              <w:rPr>
                <w:sz w:val="18"/>
              </w:rPr>
            </w:pPr>
            <w:r>
              <w:rPr>
                <w:sz w:val="18"/>
              </w:rPr>
              <w:t>U.S.</w:t>
            </w:r>
          </w:p>
        </w:tc>
        <w:tc>
          <w:tcPr>
            <w:tcW w:w="1575" w:type="dxa"/>
            <w:vMerge w:val="restart"/>
            <w:tcBorders>
              <w:top w:val="single" w:sz="12" w:space="0" w:color="auto"/>
              <w:left w:val="single" w:sz="12" w:space="0" w:color="auto"/>
              <w:right w:val="single" w:sz="4" w:space="0" w:color="auto"/>
            </w:tcBorders>
            <w:vAlign w:val="center"/>
          </w:tcPr>
          <w:p w14:paraId="379069E0" w14:textId="77777777" w:rsidR="0079296B" w:rsidRDefault="0079296B">
            <w:pPr>
              <w:spacing w:before="0" w:beforeAutospacing="0" w:after="0" w:afterAutospacing="0"/>
              <w:jc w:val="center"/>
              <w:rPr>
                <w:sz w:val="18"/>
              </w:rPr>
            </w:pPr>
            <w:r>
              <w:rPr>
                <w:sz w:val="18"/>
              </w:rPr>
              <w:t>Aetna ID card</w:t>
            </w:r>
          </w:p>
        </w:tc>
        <w:tc>
          <w:tcPr>
            <w:tcW w:w="2089" w:type="dxa"/>
            <w:vMerge w:val="restart"/>
            <w:tcBorders>
              <w:top w:val="single" w:sz="12" w:space="0" w:color="auto"/>
              <w:left w:val="single" w:sz="4" w:space="0" w:color="auto"/>
              <w:right w:val="single" w:sz="12" w:space="0" w:color="auto"/>
            </w:tcBorders>
            <w:vAlign w:val="center"/>
          </w:tcPr>
          <w:p w14:paraId="3A3A7A1C" w14:textId="77777777" w:rsidR="0079296B" w:rsidRDefault="0079296B">
            <w:pPr>
              <w:spacing w:before="0" w:beforeAutospacing="0" w:after="0" w:afterAutospacing="0"/>
              <w:jc w:val="center"/>
              <w:rPr>
                <w:sz w:val="18"/>
              </w:rPr>
            </w:pPr>
            <w:r>
              <w:rPr>
                <w:sz w:val="18"/>
              </w:rPr>
              <w:t>No card: Participant prepays and submits claim</w:t>
            </w:r>
          </w:p>
        </w:tc>
      </w:tr>
      <w:tr w:rsidR="0079296B" w14:paraId="62FA0075" w14:textId="77777777">
        <w:trPr>
          <w:cantSplit/>
        </w:trPr>
        <w:tc>
          <w:tcPr>
            <w:tcW w:w="2628" w:type="dxa"/>
            <w:tcBorders>
              <w:left w:val="single" w:sz="12" w:space="0" w:color="auto"/>
              <w:right w:val="single" w:sz="12" w:space="0" w:color="auto"/>
            </w:tcBorders>
            <w:vAlign w:val="center"/>
          </w:tcPr>
          <w:p w14:paraId="632D5D4F" w14:textId="77777777" w:rsidR="0079296B" w:rsidRDefault="0079296B">
            <w:pPr>
              <w:spacing w:before="0" w:beforeAutospacing="0" w:after="0" w:afterAutospacing="0"/>
              <w:jc w:val="center"/>
              <w:rPr>
                <w:sz w:val="18"/>
              </w:rPr>
            </w:pPr>
            <w:r>
              <w:rPr>
                <w:sz w:val="18"/>
              </w:rPr>
              <w:t>Dental services (non-network)</w:t>
            </w:r>
          </w:p>
        </w:tc>
        <w:tc>
          <w:tcPr>
            <w:tcW w:w="1080" w:type="dxa"/>
            <w:tcBorders>
              <w:left w:val="single" w:sz="12" w:space="0" w:color="auto"/>
              <w:right w:val="single" w:sz="12" w:space="0" w:color="auto"/>
            </w:tcBorders>
            <w:vAlign w:val="center"/>
          </w:tcPr>
          <w:p w14:paraId="5E619902" w14:textId="77777777" w:rsidR="0079296B" w:rsidRDefault="0079296B">
            <w:pPr>
              <w:spacing w:before="0" w:beforeAutospacing="0" w:after="0" w:afterAutospacing="0"/>
              <w:jc w:val="center"/>
              <w:rPr>
                <w:sz w:val="18"/>
              </w:rPr>
            </w:pPr>
            <w:r>
              <w:rPr>
                <w:sz w:val="18"/>
              </w:rPr>
              <w:t>U.S.</w:t>
            </w:r>
          </w:p>
        </w:tc>
        <w:tc>
          <w:tcPr>
            <w:tcW w:w="1575" w:type="dxa"/>
            <w:vMerge/>
            <w:tcBorders>
              <w:left w:val="single" w:sz="12" w:space="0" w:color="auto"/>
              <w:bottom w:val="single" w:sz="4" w:space="0" w:color="auto"/>
              <w:right w:val="single" w:sz="4" w:space="0" w:color="auto"/>
            </w:tcBorders>
            <w:vAlign w:val="center"/>
          </w:tcPr>
          <w:p w14:paraId="6137BE7C" w14:textId="77777777" w:rsidR="0079296B" w:rsidRDefault="0079296B">
            <w:pPr>
              <w:spacing w:before="0" w:beforeAutospacing="0" w:after="0" w:afterAutospacing="0"/>
              <w:jc w:val="center"/>
              <w:rPr>
                <w:sz w:val="18"/>
              </w:rPr>
            </w:pPr>
          </w:p>
        </w:tc>
        <w:tc>
          <w:tcPr>
            <w:tcW w:w="2089" w:type="dxa"/>
            <w:vMerge/>
            <w:tcBorders>
              <w:left w:val="single" w:sz="4" w:space="0" w:color="auto"/>
              <w:bottom w:val="single" w:sz="4" w:space="0" w:color="auto"/>
              <w:right w:val="single" w:sz="12" w:space="0" w:color="auto"/>
            </w:tcBorders>
            <w:vAlign w:val="center"/>
          </w:tcPr>
          <w:p w14:paraId="3293964E" w14:textId="77777777" w:rsidR="0079296B" w:rsidRDefault="0079296B">
            <w:pPr>
              <w:spacing w:before="0" w:beforeAutospacing="0" w:after="0" w:afterAutospacing="0"/>
              <w:jc w:val="center"/>
              <w:rPr>
                <w:sz w:val="18"/>
              </w:rPr>
            </w:pPr>
          </w:p>
        </w:tc>
      </w:tr>
      <w:tr w:rsidR="0079296B" w14:paraId="31286F6E" w14:textId="77777777">
        <w:trPr>
          <w:cantSplit/>
        </w:trPr>
        <w:tc>
          <w:tcPr>
            <w:tcW w:w="2628" w:type="dxa"/>
            <w:tcBorders>
              <w:left w:val="single" w:sz="12" w:space="0" w:color="auto"/>
              <w:bottom w:val="single" w:sz="12" w:space="0" w:color="auto"/>
              <w:right w:val="single" w:sz="12" w:space="0" w:color="auto"/>
            </w:tcBorders>
            <w:vAlign w:val="center"/>
          </w:tcPr>
          <w:p w14:paraId="2BF06557" w14:textId="77777777" w:rsidR="0079296B" w:rsidRDefault="0079296B">
            <w:pPr>
              <w:spacing w:before="0" w:beforeAutospacing="0" w:after="0" w:afterAutospacing="0"/>
              <w:jc w:val="center"/>
              <w:rPr>
                <w:sz w:val="18"/>
              </w:rPr>
            </w:pPr>
            <w:r>
              <w:rPr>
                <w:sz w:val="18"/>
              </w:rPr>
              <w:t>Dental services (other)</w:t>
            </w:r>
          </w:p>
        </w:tc>
        <w:tc>
          <w:tcPr>
            <w:tcW w:w="1080" w:type="dxa"/>
            <w:tcBorders>
              <w:left w:val="single" w:sz="12" w:space="0" w:color="auto"/>
              <w:bottom w:val="single" w:sz="12" w:space="0" w:color="auto"/>
              <w:right w:val="single" w:sz="12" w:space="0" w:color="auto"/>
            </w:tcBorders>
            <w:vAlign w:val="center"/>
          </w:tcPr>
          <w:p w14:paraId="406C9678" w14:textId="77777777" w:rsidR="0079296B" w:rsidRDefault="0079296B">
            <w:pPr>
              <w:spacing w:before="0" w:beforeAutospacing="0" w:after="0" w:afterAutospacing="0"/>
              <w:jc w:val="center"/>
              <w:rPr>
                <w:sz w:val="18"/>
              </w:rPr>
            </w:pPr>
            <w:r>
              <w:rPr>
                <w:sz w:val="18"/>
              </w:rPr>
              <w:t>Non-U.S.</w:t>
            </w:r>
          </w:p>
        </w:tc>
        <w:tc>
          <w:tcPr>
            <w:tcW w:w="3664" w:type="dxa"/>
            <w:gridSpan w:val="2"/>
            <w:tcBorders>
              <w:left w:val="single" w:sz="12" w:space="0" w:color="auto"/>
              <w:bottom w:val="single" w:sz="12" w:space="0" w:color="auto"/>
              <w:right w:val="single" w:sz="12" w:space="0" w:color="auto"/>
            </w:tcBorders>
            <w:vAlign w:val="center"/>
          </w:tcPr>
          <w:p w14:paraId="20D54799" w14:textId="77777777" w:rsidR="0079296B" w:rsidRDefault="0079296B">
            <w:pPr>
              <w:spacing w:before="0" w:beforeAutospacing="0" w:after="0" w:afterAutospacing="0"/>
              <w:jc w:val="center"/>
              <w:rPr>
                <w:sz w:val="18"/>
              </w:rPr>
            </w:pPr>
            <w:r>
              <w:rPr>
                <w:sz w:val="18"/>
              </w:rPr>
              <w:t>No card: Participant prepays and submits claim</w:t>
            </w:r>
          </w:p>
        </w:tc>
      </w:tr>
      <w:tr w:rsidR="0079296B" w14:paraId="217A2B4B" w14:textId="77777777">
        <w:trPr>
          <w:cantSplit/>
        </w:trPr>
        <w:tc>
          <w:tcPr>
            <w:tcW w:w="2628" w:type="dxa"/>
            <w:tcBorders>
              <w:top w:val="single" w:sz="12" w:space="0" w:color="auto"/>
              <w:left w:val="single" w:sz="12" w:space="0" w:color="auto"/>
              <w:right w:val="single" w:sz="12" w:space="0" w:color="auto"/>
            </w:tcBorders>
            <w:vAlign w:val="center"/>
          </w:tcPr>
          <w:p w14:paraId="7747A74C" w14:textId="77777777" w:rsidR="0079296B" w:rsidRDefault="0079296B">
            <w:pPr>
              <w:spacing w:before="0" w:beforeAutospacing="0" w:after="0" w:afterAutospacing="0"/>
              <w:jc w:val="center"/>
              <w:rPr>
                <w:sz w:val="18"/>
              </w:rPr>
            </w:pPr>
            <w:r>
              <w:rPr>
                <w:sz w:val="18"/>
              </w:rPr>
              <w:t xml:space="preserve">Prescription drug purchases at </w:t>
            </w:r>
            <w:r w:rsidR="00FD3377">
              <w:rPr>
                <w:sz w:val="18"/>
              </w:rPr>
              <w:t>CVS/caremark</w:t>
            </w:r>
            <w:r>
              <w:rPr>
                <w:sz w:val="18"/>
              </w:rPr>
              <w:t xml:space="preserve"> affiliate</w:t>
            </w:r>
          </w:p>
        </w:tc>
        <w:tc>
          <w:tcPr>
            <w:tcW w:w="1080" w:type="dxa"/>
            <w:tcBorders>
              <w:top w:val="single" w:sz="12" w:space="0" w:color="auto"/>
              <w:left w:val="single" w:sz="12" w:space="0" w:color="auto"/>
              <w:bottom w:val="single" w:sz="4" w:space="0" w:color="auto"/>
              <w:right w:val="single" w:sz="12" w:space="0" w:color="auto"/>
            </w:tcBorders>
            <w:vAlign w:val="center"/>
          </w:tcPr>
          <w:p w14:paraId="12EA14BC" w14:textId="77777777" w:rsidR="0079296B" w:rsidRDefault="0079296B">
            <w:pPr>
              <w:spacing w:before="0" w:beforeAutospacing="0" w:after="0" w:afterAutospacing="0"/>
              <w:jc w:val="center"/>
              <w:rPr>
                <w:sz w:val="18"/>
              </w:rPr>
            </w:pPr>
            <w:r>
              <w:rPr>
                <w:sz w:val="18"/>
              </w:rPr>
              <w:t>U.S.</w:t>
            </w:r>
          </w:p>
        </w:tc>
        <w:tc>
          <w:tcPr>
            <w:tcW w:w="3664" w:type="dxa"/>
            <w:gridSpan w:val="2"/>
            <w:tcBorders>
              <w:top w:val="single" w:sz="12" w:space="0" w:color="auto"/>
              <w:left w:val="single" w:sz="12" w:space="0" w:color="auto"/>
              <w:right w:val="single" w:sz="12" w:space="0" w:color="auto"/>
            </w:tcBorders>
            <w:vAlign w:val="center"/>
          </w:tcPr>
          <w:p w14:paraId="392A292B" w14:textId="77777777" w:rsidR="0079296B" w:rsidRDefault="00FD3377">
            <w:pPr>
              <w:spacing w:before="0" w:beforeAutospacing="0" w:after="0" w:afterAutospacing="0"/>
              <w:jc w:val="center"/>
              <w:rPr>
                <w:sz w:val="18"/>
              </w:rPr>
            </w:pPr>
            <w:r>
              <w:rPr>
                <w:sz w:val="18"/>
              </w:rPr>
              <w:t>CVS/caremark</w:t>
            </w:r>
            <w:r w:rsidR="0079296B">
              <w:rPr>
                <w:sz w:val="18"/>
              </w:rPr>
              <w:t xml:space="preserve"> card</w:t>
            </w:r>
          </w:p>
        </w:tc>
      </w:tr>
      <w:tr w:rsidR="0079296B" w14:paraId="2EFB4C93" w14:textId="77777777">
        <w:trPr>
          <w:cantSplit/>
        </w:trPr>
        <w:tc>
          <w:tcPr>
            <w:tcW w:w="2628" w:type="dxa"/>
            <w:tcBorders>
              <w:left w:val="single" w:sz="12" w:space="0" w:color="auto"/>
              <w:bottom w:val="single" w:sz="12" w:space="0" w:color="auto"/>
              <w:right w:val="single" w:sz="12" w:space="0" w:color="auto"/>
            </w:tcBorders>
            <w:vAlign w:val="center"/>
          </w:tcPr>
          <w:p w14:paraId="66DB9976" w14:textId="77777777" w:rsidR="0079296B" w:rsidRDefault="0079296B">
            <w:pPr>
              <w:spacing w:before="0" w:beforeAutospacing="0" w:after="0" w:afterAutospacing="0"/>
              <w:jc w:val="center"/>
              <w:rPr>
                <w:sz w:val="18"/>
              </w:rPr>
            </w:pPr>
            <w:r>
              <w:rPr>
                <w:sz w:val="18"/>
              </w:rPr>
              <w:t>Prescription drug purchases (other)</w:t>
            </w:r>
          </w:p>
        </w:tc>
        <w:tc>
          <w:tcPr>
            <w:tcW w:w="1080" w:type="dxa"/>
            <w:tcBorders>
              <w:left w:val="single" w:sz="12" w:space="0" w:color="auto"/>
              <w:bottom w:val="single" w:sz="12" w:space="0" w:color="auto"/>
              <w:right w:val="single" w:sz="12" w:space="0" w:color="auto"/>
            </w:tcBorders>
            <w:vAlign w:val="center"/>
          </w:tcPr>
          <w:p w14:paraId="119B2D12" w14:textId="77777777" w:rsidR="0079296B" w:rsidRDefault="0079296B">
            <w:pPr>
              <w:spacing w:before="0" w:beforeAutospacing="0" w:after="0" w:afterAutospacing="0"/>
              <w:jc w:val="center"/>
              <w:rPr>
                <w:sz w:val="18"/>
              </w:rPr>
            </w:pPr>
            <w:r>
              <w:rPr>
                <w:sz w:val="18"/>
              </w:rPr>
              <w:t>All</w:t>
            </w:r>
          </w:p>
        </w:tc>
        <w:tc>
          <w:tcPr>
            <w:tcW w:w="3664" w:type="dxa"/>
            <w:gridSpan w:val="2"/>
            <w:tcBorders>
              <w:left w:val="single" w:sz="12" w:space="0" w:color="auto"/>
              <w:bottom w:val="single" w:sz="12" w:space="0" w:color="auto"/>
              <w:right w:val="single" w:sz="12" w:space="0" w:color="auto"/>
            </w:tcBorders>
            <w:vAlign w:val="center"/>
          </w:tcPr>
          <w:p w14:paraId="091CBFEB" w14:textId="77777777" w:rsidR="0079296B" w:rsidRDefault="0079296B">
            <w:pPr>
              <w:spacing w:before="0" w:beforeAutospacing="0" w:after="0" w:afterAutospacing="0"/>
              <w:jc w:val="center"/>
              <w:rPr>
                <w:sz w:val="18"/>
              </w:rPr>
            </w:pPr>
            <w:r>
              <w:rPr>
                <w:sz w:val="18"/>
              </w:rPr>
              <w:t>No card: Participant prepays and submits claim</w:t>
            </w:r>
          </w:p>
        </w:tc>
      </w:tr>
    </w:tbl>
    <w:p w14:paraId="79B571B3" w14:textId="77777777" w:rsidR="0079296B" w:rsidRDefault="0079296B">
      <w:pPr>
        <w:pStyle w:val="Heading1"/>
      </w:pPr>
      <w:bookmarkStart w:id="229" w:name="_Toc511095366"/>
      <w:bookmarkStart w:id="230" w:name="_Toc514121338"/>
      <w:bookmarkStart w:id="231" w:name="_Toc514121627"/>
      <w:bookmarkStart w:id="232" w:name="_Toc514121704"/>
      <w:bookmarkStart w:id="233" w:name="_Toc514122623"/>
      <w:bookmarkStart w:id="234" w:name="_Toc514241163"/>
      <w:bookmarkStart w:id="235" w:name="_Toc514287976"/>
      <w:bookmarkStart w:id="236" w:name="_Toc514312371"/>
      <w:bookmarkStart w:id="237" w:name="_Toc514373610"/>
      <w:bookmarkStart w:id="238" w:name="_Toc514487511"/>
      <w:bookmarkStart w:id="239" w:name="_Toc514489819"/>
      <w:bookmarkStart w:id="240" w:name="_Toc514490268"/>
      <w:bookmarkStart w:id="241" w:name="_Toc514562080"/>
      <w:bookmarkStart w:id="242" w:name="_Toc9618537"/>
      <w:r>
        <w:t>Direct Billing</w:t>
      </w:r>
      <w:bookmarkStart w:id="243" w:name="_Toc511095367"/>
      <w:bookmarkEnd w:id="229"/>
      <w:r>
        <w:t xml:space="preserve"> and Negotiated Fees</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40D7D91D" w14:textId="77777777" w:rsidR="0079296B" w:rsidRDefault="0079296B">
      <w:pPr>
        <w:pStyle w:val="Heading2"/>
      </w:pPr>
      <w:bookmarkStart w:id="244" w:name="_Toc514121339"/>
      <w:bookmarkStart w:id="245" w:name="_Toc514121628"/>
      <w:bookmarkStart w:id="246" w:name="_Toc514121705"/>
      <w:bookmarkStart w:id="247" w:name="_Toc514122624"/>
      <w:bookmarkStart w:id="248" w:name="_Toc514241164"/>
      <w:bookmarkStart w:id="249" w:name="_Toc514287977"/>
      <w:bookmarkStart w:id="250" w:name="_Toc514312372"/>
      <w:bookmarkStart w:id="251" w:name="_Toc514373611"/>
      <w:bookmarkStart w:id="252" w:name="_Toc514487512"/>
      <w:bookmarkStart w:id="253" w:name="_Toc514489820"/>
      <w:bookmarkStart w:id="254" w:name="_Toc514490269"/>
      <w:bookmarkStart w:id="255" w:name="_Toc514562081"/>
      <w:bookmarkStart w:id="256" w:name="_Toc9618538"/>
      <w:r>
        <w:t>Direct Billing</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33B0F564" w14:textId="77777777" w:rsidR="0079296B" w:rsidRDefault="0079296B">
      <w:r>
        <w:t xml:space="preserve">One major advantage of using </w:t>
      </w:r>
      <w:r w:rsidR="002C4482">
        <w:t>Cigna</w:t>
      </w:r>
      <w:r>
        <w:t xml:space="preserve"> is “direct billing.”  </w:t>
      </w:r>
      <w:r w:rsidR="002C4482">
        <w:t>Cigna</w:t>
      </w:r>
      <w:r>
        <w:t xml:space="preserve"> has established direct billing arrangements at many hospitals and clinics throughout the world, and is constantly expanding this list of providers.  If you use one of these direct billing providers, you will receive medical care simply by showing your </w:t>
      </w:r>
      <w:r w:rsidR="002C4482">
        <w:t>Cigna</w:t>
      </w:r>
      <w:r>
        <w:t xml:space="preserve"> card.  You will not be required to complete claims forms, prepay for medical services, or provide a certificate of guarantee of your insurability.  The provider will bill </w:t>
      </w:r>
      <w:r w:rsidR="002C4482">
        <w:t>Cigna</w:t>
      </w:r>
      <w:r>
        <w:t xml:space="preserve"> directly. </w:t>
      </w:r>
      <w:r w:rsidR="002C4482">
        <w:t>Cigna</w:t>
      </w:r>
      <w:r>
        <w:t xml:space="preserve"> will pay the hospital or provider the portion covered by the MIP.  At the same time, </w:t>
      </w:r>
      <w:r w:rsidR="002C4482">
        <w:t>Cigna</w:t>
      </w:r>
      <w:r>
        <w:t xml:space="preserve"> will inform you of any coinsurance that you owe the medical provider.</w:t>
      </w:r>
    </w:p>
    <w:p w14:paraId="26C2DE96" w14:textId="0C9EF986" w:rsidR="0079296B" w:rsidRDefault="0079296B">
      <w:r>
        <w:t xml:space="preserve">For more information on </w:t>
      </w:r>
      <w:r w:rsidR="002C4482">
        <w:t>Cigna</w:t>
      </w:r>
      <w:r>
        <w:t xml:space="preserve"> providers, see </w:t>
      </w:r>
      <w:r w:rsidR="002C4482">
        <w:t>Cigna</w:t>
      </w:r>
      <w:r>
        <w:t xml:space="preserve">’s web site or contact their Call Center (see Section </w:t>
      </w:r>
      <w:r>
        <w:fldChar w:fldCharType="begin"/>
      </w:r>
      <w:r>
        <w:instrText xml:space="preserve"> REF _Ref514235311 \r \h </w:instrText>
      </w:r>
      <w:r>
        <w:fldChar w:fldCharType="separate"/>
      </w:r>
      <w:r w:rsidR="00DA6C22">
        <w:t>11.1</w:t>
      </w:r>
      <w:r>
        <w:fldChar w:fldCharType="end"/>
      </w:r>
      <w:r>
        <w:t>).</w:t>
      </w:r>
    </w:p>
    <w:p w14:paraId="1CE1F17E" w14:textId="77777777" w:rsidR="0079296B" w:rsidRDefault="0079296B">
      <w:pPr>
        <w:pStyle w:val="Heading2"/>
      </w:pPr>
      <w:bookmarkStart w:id="257" w:name="_Toc514121340"/>
      <w:bookmarkStart w:id="258" w:name="_Toc514121629"/>
      <w:bookmarkStart w:id="259" w:name="_Toc514121706"/>
      <w:bookmarkStart w:id="260" w:name="_Toc514122625"/>
      <w:bookmarkStart w:id="261" w:name="_Toc514241165"/>
      <w:bookmarkStart w:id="262" w:name="_Toc514287978"/>
      <w:bookmarkStart w:id="263" w:name="_Toc514312373"/>
      <w:bookmarkStart w:id="264" w:name="_Toc514373612"/>
      <w:bookmarkStart w:id="265" w:name="_Toc514487513"/>
      <w:bookmarkStart w:id="266" w:name="_Toc514489821"/>
      <w:bookmarkStart w:id="267" w:name="_Toc514490270"/>
      <w:bookmarkStart w:id="268" w:name="_Toc514562082"/>
      <w:bookmarkStart w:id="269" w:name="_Toc9618539"/>
      <w:r>
        <w:t>Negotiated Fees</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22FA2FD0" w14:textId="77777777" w:rsidR="0079296B" w:rsidRDefault="002C4482">
      <w:r>
        <w:t>Cigna</w:t>
      </w:r>
      <w:r w:rsidR="0079296B">
        <w:t xml:space="preserve"> also has negotiated discounted fees with many providers in many countries, including many of the same providers who have direct billing arrangements.  Using such providers offers you and the MIP savings, since the costs of any given procedure are lower for persons associated with </w:t>
      </w:r>
      <w:r>
        <w:t>Cigna</w:t>
      </w:r>
      <w:r w:rsidR="0079296B">
        <w:t xml:space="preserve"> than for other persons.</w:t>
      </w:r>
    </w:p>
    <w:p w14:paraId="73090B83" w14:textId="77777777" w:rsidR="0079296B" w:rsidRDefault="002C4482">
      <w:pPr>
        <w:pStyle w:val="Heading1"/>
      </w:pPr>
      <w:bookmarkStart w:id="270" w:name="_Toc514121341"/>
      <w:bookmarkStart w:id="271" w:name="_Toc514121630"/>
      <w:bookmarkStart w:id="272" w:name="_Toc514121707"/>
      <w:bookmarkStart w:id="273" w:name="_Toc514122626"/>
      <w:bookmarkStart w:id="274" w:name="_Toc514241166"/>
      <w:bookmarkStart w:id="275" w:name="_Toc514287979"/>
      <w:bookmarkStart w:id="276" w:name="_Toc514312374"/>
      <w:bookmarkStart w:id="277" w:name="_Toc514373613"/>
      <w:bookmarkStart w:id="278" w:name="_Toc514487514"/>
      <w:bookmarkStart w:id="279" w:name="_Toc514489822"/>
      <w:bookmarkStart w:id="280" w:name="_Toc514490271"/>
      <w:bookmarkStart w:id="281" w:name="_Toc514562083"/>
      <w:bookmarkStart w:id="282" w:name="_Toc9618540"/>
      <w:r>
        <w:t>Cigna</w:t>
      </w:r>
      <w:r w:rsidR="0079296B">
        <w:t xml:space="preserve"> Claims Processing</w:t>
      </w:r>
      <w:bookmarkEnd w:id="243"/>
      <w:r w:rsidR="0079296B">
        <w:t xml:space="preserve"> and Services</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3D0B8F56" w14:textId="77777777" w:rsidR="0079296B" w:rsidRDefault="0079296B">
      <w:pPr>
        <w:pStyle w:val="Heading2"/>
      </w:pPr>
      <w:bookmarkStart w:id="283" w:name="_Toc511095368"/>
      <w:bookmarkStart w:id="284" w:name="_Toc514121342"/>
      <w:bookmarkStart w:id="285" w:name="_Toc514121631"/>
      <w:bookmarkStart w:id="286" w:name="_Toc514121708"/>
      <w:bookmarkStart w:id="287" w:name="_Toc514122627"/>
      <w:bookmarkStart w:id="288" w:name="_Toc514241167"/>
      <w:bookmarkStart w:id="289" w:name="_Toc514287980"/>
      <w:bookmarkStart w:id="290" w:name="_Toc514312375"/>
      <w:bookmarkStart w:id="291" w:name="_Toc514373614"/>
      <w:bookmarkStart w:id="292" w:name="_Toc514487515"/>
      <w:bookmarkStart w:id="293" w:name="_Toc514489823"/>
      <w:bookmarkStart w:id="294" w:name="_Toc514490272"/>
      <w:bookmarkStart w:id="295" w:name="_Toc514562084"/>
      <w:bookmarkStart w:id="296" w:name="_Toc9618541"/>
      <w:r>
        <w:t>Customer Service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F869BB2" w14:textId="4161C6DA" w:rsidR="0079296B" w:rsidRDefault="002C4482">
      <w:r>
        <w:t>Cigna</w:t>
      </w:r>
      <w:r w:rsidR="0079296B">
        <w:t xml:space="preserve"> processes claims and operates a Call Center at their headquarters in Antwerp, Belgium.  This facility is staffed from 0700 to 1730 GMT Monday through Friday (except Belgian holidays), with emergency 24-hour phone coverage available for eligibility verification and guarantees of benefits.  The </w:t>
      </w:r>
      <w:r>
        <w:t>Cigna</w:t>
      </w:r>
      <w:r w:rsidR="0079296B">
        <w:t xml:space="preserve"> staff are multilingual, with fluency in Danish, Dutch, English, French, German, Greek, Italian, Portuguese, Spanish and Turkish.  </w:t>
      </w:r>
      <w:r>
        <w:t>Cigna</w:t>
      </w:r>
      <w:r w:rsidR="0079296B">
        <w:t xml:space="preserve"> representatives are also highly experienced in adjudicating medical and dental claims from most countries.  For contact information, see Section </w:t>
      </w:r>
      <w:r w:rsidR="0079296B">
        <w:fldChar w:fldCharType="begin"/>
      </w:r>
      <w:r w:rsidR="0079296B">
        <w:instrText xml:space="preserve"> REF _Ref514235311 \r \h </w:instrText>
      </w:r>
      <w:r w:rsidR="0079296B">
        <w:fldChar w:fldCharType="separate"/>
      </w:r>
      <w:r w:rsidR="00DA6C22">
        <w:t>11.1</w:t>
      </w:r>
      <w:r w:rsidR="0079296B">
        <w:fldChar w:fldCharType="end"/>
      </w:r>
      <w:r w:rsidR="0079296B">
        <w:t>.</w:t>
      </w:r>
    </w:p>
    <w:p w14:paraId="6A100A7A" w14:textId="77777777" w:rsidR="0079296B" w:rsidRDefault="0079296B">
      <w:pPr>
        <w:pStyle w:val="Heading2"/>
      </w:pPr>
      <w:bookmarkStart w:id="297" w:name="_Toc514121343"/>
      <w:bookmarkStart w:id="298" w:name="_Toc514121632"/>
      <w:bookmarkStart w:id="299" w:name="_Toc514121709"/>
      <w:bookmarkStart w:id="300" w:name="_Toc514122628"/>
      <w:bookmarkStart w:id="301" w:name="_Toc514241168"/>
      <w:bookmarkStart w:id="302" w:name="_Toc514287981"/>
      <w:bookmarkStart w:id="303" w:name="_Toc514312376"/>
      <w:bookmarkStart w:id="304" w:name="_Toc514373615"/>
      <w:bookmarkStart w:id="305" w:name="_Toc514487516"/>
      <w:bookmarkStart w:id="306" w:name="_Toc514489824"/>
      <w:bookmarkStart w:id="307" w:name="_Toc514490273"/>
      <w:bookmarkStart w:id="308" w:name="_Toc514562085"/>
      <w:bookmarkStart w:id="309" w:name="_Toc9618542"/>
      <w:r>
        <w:lastRenderedPageBreak/>
        <w:t>How to File a Claim</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046ECC41" w14:textId="7A567CCD" w:rsidR="0079296B" w:rsidRDefault="0079296B">
      <w:r>
        <w:t xml:space="preserve">If you elect the International Administrator, you no longer use Aetna for MIP claims processing for claims incurred on or after your </w:t>
      </w:r>
      <w:r w:rsidR="002C4482">
        <w:t>Cigna</w:t>
      </w:r>
      <w:r>
        <w:t xml:space="preserve"> start date.  </w:t>
      </w:r>
      <w:r>
        <w:rPr>
          <w:u w:val="single"/>
        </w:rPr>
        <w:t>Thus, staff and retirees who elect the International Administrator must file all old claims with Aetna prior to switching.</w:t>
      </w:r>
      <w:r>
        <w:t xml:space="preserve">  Failure or delay in doing so may be financially disadvantageous (see Section </w:t>
      </w:r>
      <w:r>
        <w:fldChar w:fldCharType="begin"/>
      </w:r>
      <w:r>
        <w:instrText xml:space="preserve"> REF _Ref514284072 \r \h </w:instrText>
      </w:r>
      <w:r>
        <w:fldChar w:fldCharType="separate"/>
      </w:r>
      <w:r w:rsidR="00DA6C22">
        <w:t>8</w:t>
      </w:r>
      <w:r>
        <w:fldChar w:fldCharType="end"/>
      </w:r>
      <w:r>
        <w:t>).</w:t>
      </w:r>
    </w:p>
    <w:p w14:paraId="299E9C9A" w14:textId="77777777" w:rsidR="0079296B" w:rsidRDefault="002C4482">
      <w:r>
        <w:t>Cigna</w:t>
      </w:r>
      <w:r w:rsidR="0079296B">
        <w:t xml:space="preserve"> has its own claim form which is available on the World Bank’s HR </w:t>
      </w:r>
      <w:r w:rsidR="0027031D">
        <w:t>Operations</w:t>
      </w:r>
      <w:r w:rsidR="0079296B">
        <w:t xml:space="preserve"> websites (http://</w:t>
      </w:r>
      <w:r w:rsidR="00242360">
        <w:t>hrforms</w:t>
      </w:r>
      <w:r w:rsidR="0079296B">
        <w:t xml:space="preserve"> for active staff, and </w:t>
      </w:r>
      <w:hyperlink r:id="rId15" w:history="1">
        <w:r w:rsidR="006773DA" w:rsidRPr="00E5560F">
          <w:rPr>
            <w:rStyle w:val="Hyperlink"/>
          </w:rPr>
          <w:t>http://www.worldbank.org/en/about/unit/human-resources</w:t>
        </w:r>
      </w:hyperlink>
      <w:r w:rsidR="006773DA">
        <w:t xml:space="preserve"> </w:t>
      </w:r>
      <w:r w:rsidR="0079296B">
        <w:t xml:space="preserve">for retirees, on their own website and from their Call Center.  A blank form, suitable for photocopying, is provided by </w:t>
      </w:r>
      <w:r>
        <w:t>Cigna</w:t>
      </w:r>
      <w:r w:rsidR="0079296B">
        <w:t xml:space="preserve"> to new participants upon enrollment.  Each time you or a covered dependent incurs medical or dental claims, you must complete a </w:t>
      </w:r>
      <w:r>
        <w:t>Cigna</w:t>
      </w:r>
      <w:r w:rsidR="0079296B">
        <w:t xml:space="preserve"> claim form, providing your name, UPI, banking information, etc., and mail it to </w:t>
      </w:r>
      <w:r>
        <w:t>Cigna</w:t>
      </w:r>
      <w:r w:rsidR="0079296B">
        <w:t xml:space="preserve"> with the original, itemized bill or receipt from the provider.  Fax submissions are not accepted; original receipts are required per the MIP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802"/>
      </w:tblGrid>
      <w:tr w:rsidR="0079296B" w14:paraId="0D29CF07" w14:textId="77777777">
        <w:tc>
          <w:tcPr>
            <w:tcW w:w="828" w:type="dxa"/>
            <w:tcBorders>
              <w:right w:val="nil"/>
            </w:tcBorders>
          </w:tcPr>
          <w:p w14:paraId="44EA8242" w14:textId="77777777" w:rsidR="0079296B" w:rsidRDefault="00A340D4">
            <w:r>
              <w:rPr>
                <w:noProof/>
              </w:rPr>
              <w:drawing>
                <wp:inline distT="0" distB="0" distL="0" distR="0" wp14:anchorId="0B58B2BA" wp14:editId="64CD2EE2">
                  <wp:extent cx="381000" cy="381000"/>
                  <wp:effectExtent l="0" t="0" r="0" b="0"/>
                  <wp:docPr id="2" name="Picture 2" descr="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028" w:type="dxa"/>
            <w:tcBorders>
              <w:left w:val="nil"/>
            </w:tcBorders>
            <w:vAlign w:val="center"/>
          </w:tcPr>
          <w:p w14:paraId="7393EE4C" w14:textId="77777777" w:rsidR="0079296B" w:rsidRDefault="0079296B">
            <w:r>
              <w:t xml:space="preserve">Do </w:t>
            </w:r>
            <w:r>
              <w:rPr>
                <w:u w:val="single"/>
              </w:rPr>
              <w:t>not</w:t>
            </w:r>
            <w:r>
              <w:t xml:space="preserve"> submit Aetna claim forms to </w:t>
            </w:r>
            <w:r w:rsidR="002C4482">
              <w:t>Cigna</w:t>
            </w:r>
            <w:r>
              <w:t>, or vice versa.</w:t>
            </w:r>
          </w:p>
        </w:tc>
      </w:tr>
    </w:tbl>
    <w:p w14:paraId="17F7E4EF" w14:textId="77777777" w:rsidR="0079296B" w:rsidRDefault="0079296B"/>
    <w:p w14:paraId="1C1670CE" w14:textId="77777777" w:rsidR="0079296B" w:rsidRDefault="0079296B">
      <w:pPr>
        <w:pStyle w:val="Heading2"/>
      </w:pPr>
      <w:bookmarkStart w:id="310" w:name="_Toc511095370"/>
      <w:bookmarkStart w:id="311" w:name="_Toc514121344"/>
      <w:bookmarkStart w:id="312" w:name="_Toc514121633"/>
      <w:bookmarkStart w:id="313" w:name="_Toc514121710"/>
      <w:bookmarkStart w:id="314" w:name="_Toc514122629"/>
      <w:bookmarkStart w:id="315" w:name="_Toc514241169"/>
      <w:bookmarkStart w:id="316" w:name="_Toc514287982"/>
      <w:bookmarkStart w:id="317" w:name="_Toc514312377"/>
      <w:bookmarkStart w:id="318" w:name="_Toc514373616"/>
      <w:bookmarkStart w:id="319" w:name="_Toc514487517"/>
      <w:bookmarkStart w:id="320" w:name="_Toc514489825"/>
      <w:bookmarkStart w:id="321" w:name="_Toc514490274"/>
      <w:bookmarkStart w:id="322" w:name="_Toc514562086"/>
      <w:bookmarkStart w:id="323" w:name="_Toc9618543"/>
      <w:r>
        <w:t>Translation of Claims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3F2495B" w14:textId="77777777" w:rsidR="0079296B" w:rsidRDefault="002C4482">
      <w:r>
        <w:t>Cigna</w:t>
      </w:r>
      <w:r w:rsidR="0079296B">
        <w:t xml:space="preserve"> can process claims in Danish, Dutch, English, French, German, Greek, Italian, Portuguese, Spanish and Turkish without translation.  Other languages are accepted; by providing a translation, you may shorten the claim processing time.</w:t>
      </w:r>
    </w:p>
    <w:p w14:paraId="20F4FC94" w14:textId="77777777" w:rsidR="0079296B" w:rsidRDefault="0079296B">
      <w:pPr>
        <w:pStyle w:val="Heading2"/>
      </w:pPr>
      <w:bookmarkStart w:id="324" w:name="_Toc511095371"/>
      <w:bookmarkStart w:id="325" w:name="_Toc514121345"/>
      <w:bookmarkStart w:id="326" w:name="_Toc514121634"/>
      <w:bookmarkStart w:id="327" w:name="_Toc514121711"/>
      <w:bookmarkStart w:id="328" w:name="_Toc514122630"/>
      <w:bookmarkStart w:id="329" w:name="_Toc514241170"/>
      <w:bookmarkStart w:id="330" w:name="_Toc514287983"/>
      <w:bookmarkStart w:id="331" w:name="_Toc514312378"/>
      <w:bookmarkStart w:id="332" w:name="_Toc514373617"/>
      <w:bookmarkStart w:id="333" w:name="_Toc514487518"/>
      <w:bookmarkStart w:id="334" w:name="_Toc514489826"/>
      <w:bookmarkStart w:id="335" w:name="_Toc514490275"/>
      <w:bookmarkStart w:id="336" w:name="_Toc514562087"/>
      <w:bookmarkStart w:id="337" w:name="_Toc9618544"/>
      <w:r>
        <w:t>Claims Adjudication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18A8F68" w14:textId="77777777" w:rsidR="0079296B" w:rsidRDefault="0079296B">
      <w:pPr>
        <w:pStyle w:val="Heading3"/>
      </w:pPr>
      <w:bookmarkStart w:id="338" w:name="_Toc511095372"/>
      <w:bookmarkStart w:id="339" w:name="_Toc514121346"/>
      <w:bookmarkStart w:id="340" w:name="_Toc514121635"/>
      <w:bookmarkStart w:id="341" w:name="_Toc514121712"/>
      <w:bookmarkStart w:id="342" w:name="_Toc514122631"/>
      <w:bookmarkStart w:id="343" w:name="_Toc514241171"/>
      <w:bookmarkStart w:id="344" w:name="_Toc514287984"/>
      <w:bookmarkStart w:id="345" w:name="_Toc514312379"/>
      <w:bookmarkStart w:id="346" w:name="_Toc514373618"/>
      <w:bookmarkStart w:id="347" w:name="_Toc514487519"/>
      <w:bookmarkStart w:id="348" w:name="_Toc514489827"/>
      <w:bookmarkStart w:id="349" w:name="_Toc514490276"/>
      <w:bookmarkStart w:id="350" w:name="_Toc514562088"/>
      <w:bookmarkStart w:id="351" w:name="_Toc9618545"/>
      <w:r>
        <w:t>Fiduciary Responsibility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BAC7A38" w14:textId="77777777" w:rsidR="0079296B" w:rsidRDefault="0079296B">
      <w:r>
        <w:t xml:space="preserve">As with Aetna, the World Bank has contractually provided fiduciary responsibility to </w:t>
      </w:r>
      <w:r w:rsidR="002C4482">
        <w:t>Cigna</w:t>
      </w:r>
      <w:r>
        <w:t xml:space="preserve"> to process MIP claims.  Accordingly, </w:t>
      </w:r>
      <w:r w:rsidR="002C4482">
        <w:t>Cigna</w:t>
      </w:r>
      <w:r>
        <w:t xml:space="preserve"> must adjudicate claims according to the MIP plan design, and can disburse World Bank funds on behalf of the MIP to pay claims.  </w:t>
      </w:r>
      <w:r w:rsidR="002C4482">
        <w:t>Cigna</w:t>
      </w:r>
      <w:r>
        <w:t xml:space="preserve"> (like Aetna) has no financial incentive related to claims decisions (except to process them quickly and accurately).  They (like Aetna) are paid a service fee based on the number of insured lives, not how many claims are processed, reduced or denied.</w:t>
      </w:r>
    </w:p>
    <w:p w14:paraId="52D9B6D8" w14:textId="77777777" w:rsidR="0079296B" w:rsidRDefault="0079296B">
      <w:pPr>
        <w:pStyle w:val="Heading3"/>
      </w:pPr>
      <w:bookmarkStart w:id="352" w:name="_Toc511095373"/>
      <w:bookmarkStart w:id="353" w:name="_Toc514121347"/>
      <w:bookmarkStart w:id="354" w:name="_Toc514121636"/>
      <w:bookmarkStart w:id="355" w:name="_Toc514121713"/>
      <w:bookmarkStart w:id="356" w:name="_Toc514122632"/>
      <w:bookmarkStart w:id="357" w:name="_Toc514241172"/>
      <w:bookmarkStart w:id="358" w:name="_Toc514287985"/>
      <w:bookmarkStart w:id="359" w:name="_Toc514312380"/>
      <w:bookmarkStart w:id="360" w:name="_Toc514373619"/>
      <w:bookmarkStart w:id="361" w:name="_Toc514487520"/>
      <w:bookmarkStart w:id="362" w:name="_Toc514489828"/>
      <w:bookmarkStart w:id="363" w:name="_Toc514490277"/>
      <w:bookmarkStart w:id="364" w:name="_Toc514562089"/>
      <w:bookmarkStart w:id="365" w:name="_Toc9618546"/>
      <w:r>
        <w:t>Medical Necessity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05486A18" w14:textId="62DD31D1" w:rsidR="0079296B" w:rsidRDefault="002C4482">
      <w:r>
        <w:t>Cigna</w:t>
      </w:r>
      <w:r w:rsidR="0079296B">
        <w:t xml:space="preserve">, like Aetna, determines medical necessity for each claim in accordance with the MIP contract.  Medical necessity underpins all MIP claims.  The MIP will not reimburse experimental treatment or other treatment that is not medically necessary.  The World </w:t>
      </w:r>
      <w:r w:rsidR="0079296B">
        <w:lastRenderedPageBreak/>
        <w:t xml:space="preserve">Bank Group cannot intervene in issues of medical necessity.  Such decisions must be adjudicated through </w:t>
      </w:r>
      <w:r>
        <w:t>Cigna</w:t>
      </w:r>
      <w:r w:rsidR="0079296B">
        <w:t xml:space="preserve">, including appeal of decisions (see Section </w:t>
      </w:r>
      <w:r w:rsidR="0079296B">
        <w:fldChar w:fldCharType="begin"/>
      </w:r>
      <w:r w:rsidR="0079296B">
        <w:instrText xml:space="preserve"> REF _Ref514284401 \r \h </w:instrText>
      </w:r>
      <w:r w:rsidR="0079296B">
        <w:fldChar w:fldCharType="separate"/>
      </w:r>
      <w:r w:rsidR="00DA6C22">
        <w:t>6.6</w:t>
      </w:r>
      <w:r w:rsidR="0079296B">
        <w:fldChar w:fldCharType="end"/>
      </w:r>
      <w:r w:rsidR="0079296B">
        <w:t>).</w:t>
      </w:r>
      <w:r w:rsidR="0079296B">
        <w:rPr>
          <w:rStyle w:val="FootnoteReference"/>
        </w:rPr>
        <w:footnoteReference w:id="7"/>
      </w:r>
    </w:p>
    <w:p w14:paraId="461AC43B" w14:textId="77777777" w:rsidR="0079296B" w:rsidRDefault="0079296B">
      <w:pPr>
        <w:pStyle w:val="Heading2"/>
      </w:pPr>
      <w:bookmarkStart w:id="366" w:name="_Toc511095374"/>
      <w:bookmarkStart w:id="367" w:name="_Toc514121348"/>
      <w:bookmarkStart w:id="368" w:name="_Toc514121637"/>
      <w:bookmarkStart w:id="369" w:name="_Toc514121714"/>
      <w:bookmarkStart w:id="370" w:name="_Toc514122633"/>
      <w:bookmarkStart w:id="371" w:name="_Toc514241173"/>
      <w:bookmarkStart w:id="372" w:name="_Toc514287986"/>
      <w:bookmarkStart w:id="373" w:name="_Toc514312381"/>
      <w:bookmarkStart w:id="374" w:name="_Toc514373620"/>
      <w:bookmarkStart w:id="375" w:name="_Toc514487521"/>
      <w:bookmarkStart w:id="376" w:name="_Toc514489829"/>
      <w:bookmarkStart w:id="377" w:name="_Toc514490278"/>
      <w:bookmarkStart w:id="378" w:name="_Toc514562090"/>
      <w:bookmarkStart w:id="379" w:name="_Toc9618547"/>
      <w:r>
        <w:t>Claims Reimbursement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0BE6D70A" w14:textId="77777777" w:rsidR="0079296B" w:rsidRDefault="0079296B">
      <w:pPr>
        <w:pStyle w:val="Heading3"/>
      </w:pPr>
      <w:bookmarkStart w:id="380" w:name="_Toc514121349"/>
      <w:bookmarkStart w:id="381" w:name="_Toc514121638"/>
      <w:bookmarkStart w:id="382" w:name="_Toc514121715"/>
      <w:bookmarkStart w:id="383" w:name="_Toc514122634"/>
      <w:bookmarkStart w:id="384" w:name="_Toc514241174"/>
      <w:bookmarkStart w:id="385" w:name="_Toc514287987"/>
      <w:bookmarkStart w:id="386" w:name="_Toc514312382"/>
      <w:bookmarkStart w:id="387" w:name="_Toc514373621"/>
      <w:bookmarkStart w:id="388" w:name="_Toc514487522"/>
      <w:bookmarkStart w:id="389" w:name="_Toc514489830"/>
      <w:bookmarkStart w:id="390" w:name="_Toc514490279"/>
      <w:bookmarkStart w:id="391" w:name="_Toc514562091"/>
      <w:bookmarkStart w:id="392" w:name="_Toc9618548"/>
      <w:r>
        <w:t>Claim Processing Service Standard</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31D458AD" w14:textId="77777777" w:rsidR="0079296B" w:rsidRDefault="002C4482">
      <w:pPr>
        <w:pStyle w:val="Referencestyle"/>
      </w:pPr>
      <w:r>
        <w:t>Cigna</w:t>
      </w:r>
      <w:r w:rsidR="0079296B">
        <w:t>’s processing service standard is 95% claims completed within 14 days.</w:t>
      </w:r>
    </w:p>
    <w:p w14:paraId="3A5AA79C" w14:textId="77777777" w:rsidR="0079296B" w:rsidRDefault="0079296B">
      <w:pPr>
        <w:pStyle w:val="Heading3"/>
      </w:pPr>
      <w:bookmarkStart w:id="393" w:name="_Toc514121350"/>
      <w:bookmarkStart w:id="394" w:name="_Toc514121639"/>
      <w:bookmarkStart w:id="395" w:name="_Toc514121716"/>
      <w:bookmarkStart w:id="396" w:name="_Toc514122635"/>
      <w:bookmarkStart w:id="397" w:name="_Toc514241175"/>
      <w:bookmarkStart w:id="398" w:name="_Toc514287988"/>
      <w:bookmarkStart w:id="399" w:name="_Toc514312383"/>
      <w:bookmarkStart w:id="400" w:name="_Toc514373622"/>
      <w:bookmarkStart w:id="401" w:name="_Toc514487523"/>
      <w:bookmarkStart w:id="402" w:name="_Toc514489831"/>
      <w:bookmarkStart w:id="403" w:name="_Toc514490280"/>
      <w:bookmarkStart w:id="404" w:name="_Toc514562092"/>
      <w:bookmarkStart w:id="405" w:name="_Toc9618549"/>
      <w:bookmarkStart w:id="406" w:name="_Toc511095375"/>
      <w:r>
        <w:t>Usual and Customary Charges</w:t>
      </w:r>
      <w:bookmarkEnd w:id="393"/>
      <w:bookmarkEnd w:id="394"/>
      <w:bookmarkEnd w:id="395"/>
      <w:bookmarkEnd w:id="396"/>
      <w:bookmarkEnd w:id="397"/>
      <w:bookmarkEnd w:id="398"/>
      <w:bookmarkEnd w:id="399"/>
      <w:bookmarkEnd w:id="400"/>
      <w:bookmarkEnd w:id="401"/>
      <w:bookmarkEnd w:id="402"/>
      <w:bookmarkEnd w:id="403"/>
      <w:bookmarkEnd w:id="404"/>
      <w:bookmarkEnd w:id="405"/>
    </w:p>
    <w:p w14:paraId="42DCDF71" w14:textId="77777777" w:rsidR="0079296B" w:rsidRDefault="002C4482">
      <w:r>
        <w:t>Cigna</w:t>
      </w:r>
      <w:r w:rsidR="0079296B">
        <w:t xml:space="preserve"> reimburses MIP participants in accordance with the MIP contract, based on medical necessity and subject to the “usual and customary” level of fees for that service.  </w:t>
      </w:r>
      <w:r>
        <w:t>Cigna</w:t>
      </w:r>
      <w:r w:rsidR="0079296B">
        <w:t xml:space="preserve"> maintains an extensive database of the cost of all medical and dental procedures in countries and cities around the world which reflects their international claims payment experience over the past 30 years.  Under the provisions of the MIP contract, charges that exceed the usual and customary level are reduced and reimbursement will be based on the maximum usual and customary level.</w:t>
      </w:r>
      <w:r w:rsidR="0079296B">
        <w:rPr>
          <w:rStyle w:val="FootnoteReference"/>
        </w:rPr>
        <w:footnoteReference w:id="8"/>
      </w:r>
    </w:p>
    <w:p w14:paraId="2E74CEBD" w14:textId="77777777" w:rsidR="0079296B" w:rsidRDefault="0079296B">
      <w:pPr>
        <w:pStyle w:val="Heading3"/>
      </w:pPr>
      <w:bookmarkStart w:id="407" w:name="_Toc514121351"/>
      <w:bookmarkStart w:id="408" w:name="_Toc514121640"/>
      <w:bookmarkStart w:id="409" w:name="_Toc514121717"/>
      <w:bookmarkStart w:id="410" w:name="_Toc514122636"/>
      <w:bookmarkStart w:id="411" w:name="_Toc514241176"/>
      <w:bookmarkStart w:id="412" w:name="_Toc514287989"/>
      <w:bookmarkStart w:id="413" w:name="_Toc514312384"/>
      <w:bookmarkStart w:id="414" w:name="_Toc514373623"/>
      <w:bookmarkStart w:id="415" w:name="_Toc514487524"/>
      <w:bookmarkStart w:id="416" w:name="_Toc514489832"/>
      <w:bookmarkStart w:id="417" w:name="_Toc514490281"/>
      <w:bookmarkStart w:id="418" w:name="_Toc514562093"/>
      <w:bookmarkStart w:id="419" w:name="_Toc9618550"/>
      <w:r>
        <w:t>Payment Option: Electronic Funds Transfer</w:t>
      </w:r>
      <w:bookmarkEnd w:id="406"/>
      <w:r>
        <w:t xml:space="preserve"> v. Paper Check</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522BF696" w14:textId="77777777" w:rsidR="0079296B" w:rsidRDefault="0079296B">
      <w:r>
        <w:t xml:space="preserve">Each claim reimbursement will be made by </w:t>
      </w:r>
      <w:r w:rsidR="002C4482">
        <w:t>Cigna</w:t>
      </w:r>
      <w:r>
        <w:t xml:space="preserve"> via electronic funds transfer or by paper check, if the reimbursement is made in a major currency.</w:t>
      </w:r>
      <w:r>
        <w:rPr>
          <w:rStyle w:val="FootnoteReference"/>
        </w:rPr>
        <w:footnoteReference w:id="9"/>
      </w:r>
      <w:r>
        <w:t xml:space="preserve">  Reimbursement in other currencies is possible but only by paper check.  You may elect the mode of payment with each claim.  If you fail to do so, reimbursement will be made by paper check in US$.</w:t>
      </w:r>
    </w:p>
    <w:p w14:paraId="7B9FAEBB" w14:textId="77777777" w:rsidR="0079296B" w:rsidRDefault="0079296B">
      <w:pPr>
        <w:pStyle w:val="Heading3"/>
      </w:pPr>
      <w:bookmarkStart w:id="420" w:name="_Toc511095376"/>
      <w:bookmarkStart w:id="421" w:name="_Toc514121352"/>
      <w:bookmarkStart w:id="422" w:name="_Toc514121641"/>
      <w:bookmarkStart w:id="423" w:name="_Toc514121718"/>
      <w:bookmarkStart w:id="424" w:name="_Toc514122637"/>
      <w:bookmarkStart w:id="425" w:name="_Toc514241177"/>
      <w:bookmarkStart w:id="426" w:name="_Toc514287990"/>
      <w:bookmarkStart w:id="427" w:name="_Toc514312385"/>
      <w:bookmarkStart w:id="428" w:name="_Toc514373624"/>
      <w:bookmarkStart w:id="429" w:name="_Toc514487525"/>
      <w:bookmarkStart w:id="430" w:name="_Toc514489833"/>
      <w:bookmarkStart w:id="431" w:name="_Toc514490282"/>
      <w:bookmarkStart w:id="432" w:name="_Toc514562094"/>
      <w:bookmarkStart w:id="433" w:name="_Toc9618551"/>
      <w:r>
        <w:t>Currency of Reimbursement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37FF3EC2" w14:textId="77777777" w:rsidR="0079296B" w:rsidRDefault="0079296B">
      <w:r>
        <w:t>Normally, claims are reimbursed in US$.  If you elect reimbursement in the currency in which the claim was incurred, the exchange rate used will be the United Nations Operational Rates of Exchange on the date of service.  Also, deductible balances, out-of-pocket expenses and other financial accumulators will be administered in US$ using the United Nations Operational Rates of Exchange as of the date of service.</w:t>
      </w:r>
    </w:p>
    <w:p w14:paraId="56177802" w14:textId="77777777" w:rsidR="0079296B" w:rsidRDefault="0079296B">
      <w:pPr>
        <w:pStyle w:val="Heading3"/>
      </w:pPr>
      <w:bookmarkStart w:id="434" w:name="_Toc511095377"/>
      <w:bookmarkStart w:id="435" w:name="_Toc514121353"/>
      <w:bookmarkStart w:id="436" w:name="_Toc514121642"/>
      <w:bookmarkStart w:id="437" w:name="_Toc514121719"/>
      <w:bookmarkStart w:id="438" w:name="_Toc514122638"/>
      <w:bookmarkStart w:id="439" w:name="_Toc514241178"/>
      <w:bookmarkStart w:id="440" w:name="_Toc514287991"/>
      <w:bookmarkStart w:id="441" w:name="_Toc514312386"/>
      <w:bookmarkStart w:id="442" w:name="_Toc514373625"/>
      <w:bookmarkStart w:id="443" w:name="_Toc514487526"/>
      <w:bookmarkStart w:id="444" w:name="_Toc514489834"/>
      <w:bookmarkStart w:id="445" w:name="_Toc514490283"/>
      <w:bookmarkStart w:id="446" w:name="_Toc514562095"/>
      <w:bookmarkStart w:id="447" w:name="_Toc9618552"/>
      <w:r>
        <w:lastRenderedPageBreak/>
        <w:t>Explanation of Benefits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D63D544" w14:textId="77777777" w:rsidR="0079296B" w:rsidRDefault="0079296B">
      <w:r>
        <w:t xml:space="preserve">Each claim processed by </w:t>
      </w:r>
      <w:r w:rsidR="002C4482">
        <w:t>Cigna</w:t>
      </w:r>
      <w:r>
        <w:t xml:space="preserve"> will generate an Explanation of Benefits detailing the patient, the amount of the claim, the amount covered, and other information.  Please retain these Explanation of Benefits for your records; annual summaries are not provided. </w:t>
      </w:r>
    </w:p>
    <w:p w14:paraId="59F98B29" w14:textId="77777777" w:rsidR="0079296B" w:rsidRDefault="0079296B">
      <w:pPr>
        <w:pStyle w:val="Heading3"/>
      </w:pPr>
      <w:bookmarkStart w:id="448" w:name="_Toc511095378"/>
      <w:bookmarkStart w:id="449" w:name="_Toc514121354"/>
      <w:bookmarkStart w:id="450" w:name="_Toc514121643"/>
      <w:bookmarkStart w:id="451" w:name="_Toc514121720"/>
      <w:bookmarkStart w:id="452" w:name="_Toc514122639"/>
      <w:bookmarkStart w:id="453" w:name="_Toc514241179"/>
      <w:bookmarkStart w:id="454" w:name="_Toc514287992"/>
      <w:bookmarkStart w:id="455" w:name="_Toc514312387"/>
      <w:bookmarkStart w:id="456" w:name="_Toc514373626"/>
      <w:bookmarkStart w:id="457" w:name="_Toc514487527"/>
      <w:bookmarkStart w:id="458" w:name="_Toc514489835"/>
      <w:bookmarkStart w:id="459" w:name="_Toc514490284"/>
      <w:bookmarkStart w:id="460" w:name="_Toc514562096"/>
      <w:bookmarkStart w:id="461" w:name="_Toc9618553"/>
      <w:r>
        <w:t>Mailing Address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555C8E97" w14:textId="77777777" w:rsidR="0079296B" w:rsidRDefault="0079296B">
      <w:r>
        <w:rPr>
          <w:u w:val="single"/>
        </w:rPr>
        <w:t>Active staff</w:t>
      </w:r>
      <w:r>
        <w:t xml:space="preserve"> may elect their office or home address for use by </w:t>
      </w:r>
      <w:r w:rsidR="002C4482">
        <w:t>Cigna</w:t>
      </w:r>
      <w:r>
        <w:t xml:space="preserve">.  They may change their election or update their home address at any time through </w:t>
      </w:r>
      <w:r w:rsidR="0027031D">
        <w:t>myHR Self-Service</w:t>
      </w:r>
      <w:r>
        <w:t xml:space="preserve">.  Contact the HR </w:t>
      </w:r>
      <w:r w:rsidR="0027031D">
        <w:t>Operations</w:t>
      </w:r>
      <w:r>
        <w:t xml:space="preserve"> if you do not have </w:t>
      </w:r>
      <w:r w:rsidR="0027031D">
        <w:t xml:space="preserve">myHR Self-Service </w:t>
      </w:r>
      <w:r>
        <w:t>access.</w:t>
      </w:r>
    </w:p>
    <w:p w14:paraId="5AD729DE" w14:textId="77777777" w:rsidR="0079296B" w:rsidRDefault="0079296B">
      <w:r>
        <w:rPr>
          <w:u w:val="single"/>
        </w:rPr>
        <w:t>Retirees</w:t>
      </w:r>
      <w:r>
        <w:t xml:space="preserve"> must use their official Pension mailing address for </w:t>
      </w:r>
      <w:r w:rsidR="002C4482">
        <w:t>Cigna</w:t>
      </w:r>
      <w:r>
        <w:t xml:space="preserve"> purposes.  Changes to the official Pension mailing address are made through Pension Administration.</w:t>
      </w:r>
    </w:p>
    <w:p w14:paraId="0B6E22E3" w14:textId="77777777" w:rsidR="0079296B" w:rsidRDefault="0079296B">
      <w:pPr>
        <w:pStyle w:val="Heading2"/>
      </w:pPr>
      <w:bookmarkStart w:id="462" w:name="_Toc511095379"/>
      <w:bookmarkStart w:id="463" w:name="_Toc514121355"/>
      <w:bookmarkStart w:id="464" w:name="_Toc514121644"/>
      <w:bookmarkStart w:id="465" w:name="_Toc514121721"/>
      <w:bookmarkStart w:id="466" w:name="_Toc514122640"/>
      <w:bookmarkStart w:id="467" w:name="_Toc514241180"/>
      <w:bookmarkStart w:id="468" w:name="_Ref514284401"/>
      <w:bookmarkStart w:id="469" w:name="_Toc514287993"/>
      <w:bookmarkStart w:id="470" w:name="_Toc514312388"/>
      <w:bookmarkStart w:id="471" w:name="_Toc514373627"/>
      <w:bookmarkStart w:id="472" w:name="_Toc514487528"/>
      <w:bookmarkStart w:id="473" w:name="_Toc514489836"/>
      <w:bookmarkStart w:id="474" w:name="_Toc514490285"/>
      <w:bookmarkStart w:id="475" w:name="_Toc514562097"/>
      <w:bookmarkStart w:id="476" w:name="_Toc9618554"/>
      <w:r>
        <w:t>Disputed Claims and Appeals Process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1B3D0DE6" w14:textId="77777777" w:rsidR="0079296B" w:rsidRDefault="002C4482">
      <w:r>
        <w:t>Cigna</w:t>
      </w:r>
      <w:r w:rsidR="0079296B">
        <w:t xml:space="preserve"> is obligated to adjudicate MIP claims in accordance with the MIP contract, including determination of medical necessity and application of usual and customary limits.  If a claim is denied, you should first take steps to ensure </w:t>
      </w:r>
      <w:r>
        <w:t>Cigna</w:t>
      </w:r>
      <w:r w:rsidR="0079296B">
        <w:t xml:space="preserve"> possessed and processed complete information with regard to the diagnosis and treatment.  If the claim is still denied, you may appeal it by sending a full description of the issues and documentation to the Deputy Director of the Medical Claims Center of </w:t>
      </w:r>
      <w:r>
        <w:t>Cigna</w:t>
      </w:r>
      <w:r w:rsidR="0079296B">
        <w:t>.</w:t>
      </w:r>
    </w:p>
    <w:p w14:paraId="104AE336" w14:textId="77777777" w:rsidR="0079296B" w:rsidRDefault="0079296B">
      <w:r>
        <w:t xml:space="preserve">If your appeal is denied and you wish further review, </w:t>
      </w:r>
      <w:r w:rsidR="002C4482">
        <w:t>Cigna</w:t>
      </w:r>
      <w:r>
        <w:t xml:space="preserve"> will participate in arbitration using an independent medical examiner that is mutually agreeable to you and </w:t>
      </w:r>
      <w:r w:rsidR="002C4482">
        <w:t>Cigna</w:t>
      </w:r>
      <w:r>
        <w:t xml:space="preserve">.  The disputed claim must be for at least US$500.  If no agreement can be reached as to the arbitrator, the arbitrator will be designated by the </w:t>
      </w:r>
      <w:proofErr w:type="spellStart"/>
      <w:r>
        <w:t>Président</w:t>
      </w:r>
      <w:proofErr w:type="spellEnd"/>
      <w:r>
        <w:t xml:space="preserve"> du Conseil de </w:t>
      </w:r>
      <w:proofErr w:type="spellStart"/>
      <w:r>
        <w:t>l’Ordre</w:t>
      </w:r>
      <w:proofErr w:type="spellEnd"/>
      <w:r>
        <w:t xml:space="preserve"> des Médecins in Belgium or by a similar medical authority in your country.  Such arbitration is binding on you and </w:t>
      </w:r>
      <w:r w:rsidR="002C4482">
        <w:t>Cigna</w:t>
      </w:r>
      <w:r>
        <w:t>, and it represents the final level of appeal.  The World Bank Group cannot intervene on substantive claim issues, and is prohibited (due to medical confidentiality) from reviewing your claim.  Per Staff Rule 6.12, MIP claims decisions are not subject to the World Bank Group internal grievance mechanisms such as the Appeals Committee or the Administrative Tribunal.</w:t>
      </w:r>
    </w:p>
    <w:p w14:paraId="23FB3A01" w14:textId="77777777" w:rsidR="0079296B" w:rsidRDefault="0079296B">
      <w:r>
        <w:t xml:space="preserve">The World Bank Group will assist you with service issues relating to claims adjudication, should such issues arise.  You may contact the HR </w:t>
      </w:r>
      <w:r w:rsidR="0027031D">
        <w:t>Operations</w:t>
      </w:r>
      <w:r>
        <w:t>, for example, if the Administrator does not respond to your appeal.</w:t>
      </w:r>
    </w:p>
    <w:p w14:paraId="77ECF25B" w14:textId="77777777" w:rsidR="0079296B" w:rsidRDefault="0079296B">
      <w:pPr>
        <w:pStyle w:val="Heading2"/>
      </w:pPr>
      <w:bookmarkStart w:id="477" w:name="_Toc514121356"/>
      <w:bookmarkStart w:id="478" w:name="_Toc514121645"/>
      <w:bookmarkStart w:id="479" w:name="_Toc514121722"/>
      <w:bookmarkStart w:id="480" w:name="_Toc514122641"/>
      <w:bookmarkStart w:id="481" w:name="_Toc514241181"/>
      <w:bookmarkStart w:id="482" w:name="_Toc514287994"/>
      <w:bookmarkStart w:id="483" w:name="_Toc514312389"/>
      <w:bookmarkStart w:id="484" w:name="_Toc514373628"/>
      <w:bookmarkStart w:id="485" w:name="_Toc514487529"/>
      <w:bookmarkStart w:id="486" w:name="_Toc514489837"/>
      <w:bookmarkStart w:id="487" w:name="_Toc514490286"/>
      <w:bookmarkStart w:id="488" w:name="_Toc514562098"/>
      <w:bookmarkStart w:id="489" w:name="_Toc9618555"/>
      <w:r>
        <w:t>Predetermination of Benefits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581A7D86" w14:textId="77777777" w:rsidR="0079296B" w:rsidRDefault="0079296B">
      <w:r>
        <w:t xml:space="preserve">If you have planned a medical or dental procedure, you may ask </w:t>
      </w:r>
      <w:r w:rsidR="002C4482">
        <w:t>Cigna</w:t>
      </w:r>
      <w:r>
        <w:t xml:space="preserve"> to pre-determine your benefits.  Predetermination means asking your doctor or hospital to complete a claim form specifying all anticipated procedures, and submitting this claim form by mail or fax to </w:t>
      </w:r>
      <w:r w:rsidR="002C4482">
        <w:t>Cigna</w:t>
      </w:r>
      <w:r>
        <w:t xml:space="preserve">.  </w:t>
      </w:r>
      <w:r w:rsidR="002C4482">
        <w:t>Cigna</w:t>
      </w:r>
      <w:r>
        <w:t xml:space="preserve"> will “preprocess” the claim, and inform you in general of the level of coverage.  This will be processed within 14 calendar days.</w:t>
      </w:r>
    </w:p>
    <w:p w14:paraId="0B4E7040" w14:textId="77777777" w:rsidR="0079296B" w:rsidRDefault="002C4482">
      <w:pPr>
        <w:autoSpaceDE w:val="0"/>
        <w:autoSpaceDN w:val="0"/>
        <w:adjustRightInd w:val="0"/>
        <w:spacing w:before="0" w:beforeAutospacing="0" w:after="0" w:afterAutospacing="0"/>
      </w:pPr>
      <w:r>
        <w:rPr>
          <w:color w:val="000000"/>
        </w:rPr>
        <w:lastRenderedPageBreak/>
        <w:t>Cigna</w:t>
      </w:r>
      <w:r w:rsidR="0079296B">
        <w:rPr>
          <w:color w:val="000000"/>
        </w:rPr>
        <w:t xml:space="preserve"> also uses a cost estimate form used for hospitalization only, which gives a patient an idea on the reasonableness of the expenses to be incurred, and serves as a basis for a letter of guarantee.  The form </w:t>
      </w:r>
      <w:r w:rsidR="0079296B">
        <w:t xml:space="preserve">is available from </w:t>
      </w:r>
      <w:r>
        <w:t>Cigna</w:t>
      </w:r>
      <w:r w:rsidR="0079296B">
        <w:t xml:space="preserve"> in English and French.</w:t>
      </w:r>
    </w:p>
    <w:p w14:paraId="5B34F04F" w14:textId="77777777" w:rsidR="0079296B" w:rsidRDefault="0079296B">
      <w:pPr>
        <w:pStyle w:val="Heading1"/>
      </w:pPr>
      <w:bookmarkStart w:id="490" w:name="_Toc514241182"/>
      <w:bookmarkStart w:id="491" w:name="_Toc514287995"/>
      <w:bookmarkStart w:id="492" w:name="_Toc514312390"/>
      <w:bookmarkStart w:id="493" w:name="_Toc514373629"/>
      <w:bookmarkStart w:id="494" w:name="_Toc514487530"/>
      <w:bookmarkStart w:id="495" w:name="_Toc514489838"/>
      <w:bookmarkStart w:id="496" w:name="_Toc514490287"/>
      <w:bookmarkStart w:id="497" w:name="_Toc514562099"/>
      <w:bookmarkStart w:id="498" w:name="_Toc9618556"/>
      <w:r>
        <w:t>ELIGIBLITY CHANGES AND MIP CONTINUATION</w:t>
      </w:r>
      <w:bookmarkEnd w:id="490"/>
      <w:bookmarkEnd w:id="491"/>
      <w:bookmarkEnd w:id="492"/>
      <w:bookmarkEnd w:id="493"/>
      <w:bookmarkEnd w:id="494"/>
      <w:bookmarkEnd w:id="495"/>
      <w:bookmarkEnd w:id="496"/>
      <w:bookmarkEnd w:id="497"/>
      <w:bookmarkEnd w:id="498"/>
    </w:p>
    <w:p w14:paraId="18F3F539" w14:textId="77777777" w:rsidR="0079296B" w:rsidRDefault="0079296B">
      <w:pPr>
        <w:pStyle w:val="Heading2"/>
      </w:pPr>
      <w:bookmarkStart w:id="499" w:name="_Toc511095381"/>
      <w:bookmarkStart w:id="500" w:name="_Toc514121358"/>
      <w:bookmarkStart w:id="501" w:name="_Toc514121647"/>
      <w:bookmarkStart w:id="502" w:name="_Toc514121724"/>
      <w:bookmarkStart w:id="503" w:name="_Toc514122643"/>
      <w:bookmarkStart w:id="504" w:name="_Toc514241183"/>
      <w:bookmarkStart w:id="505" w:name="_Toc514287996"/>
      <w:bookmarkStart w:id="506" w:name="_Toc514312391"/>
      <w:bookmarkStart w:id="507" w:name="_Toc514373630"/>
      <w:bookmarkStart w:id="508" w:name="_Toc514487531"/>
      <w:bookmarkStart w:id="509" w:name="_Toc514489839"/>
      <w:bookmarkStart w:id="510" w:name="_Toc514490288"/>
      <w:bookmarkStart w:id="511" w:name="_Toc514562100"/>
      <w:bookmarkStart w:id="512" w:name="_Toc9618557"/>
      <w:r>
        <w:t>Life Events</w:t>
      </w:r>
      <w:bookmarkStart w:id="513" w:name="_Toc51109538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62133C1C" w14:textId="77777777" w:rsidR="0079296B" w:rsidRDefault="0079296B" w:rsidP="0027031D">
      <w:r>
        <w:t xml:space="preserve">You are obligated to report all life events (divorce, marriage, birth, death, end of dependency, creation of domestic partnership, dissolution of domestic partnership) to the Bank’s HR </w:t>
      </w:r>
      <w:r w:rsidR="0027031D">
        <w:t>Operations</w:t>
      </w:r>
      <w:r>
        <w:t xml:space="preserve"> Unit within </w:t>
      </w:r>
      <w:r w:rsidR="00242360">
        <w:t>60</w:t>
      </w:r>
      <w:r>
        <w:t xml:space="preserve"> calendar days of the event.  If the life event results in adding an eligible dependent (e.g., marriage), and if you miss this deadline, your eligible dependent may still join the MIP if you are an active staff member, but only by completing “late enrollment” and satisfactorily passing a medical screening with right of refusal by Aetna’s Medical Underwriting Section or </w:t>
      </w:r>
      <w:r w:rsidR="002C4482">
        <w:t>Cigna</w:t>
      </w:r>
      <w:r>
        <w:t>’s Medical Advisor, depending on which Administrator applies to you.  Late enrollment is not available for the Retiree MIP under any circumstances.</w:t>
      </w:r>
    </w:p>
    <w:p w14:paraId="16F5E50D" w14:textId="77777777" w:rsidR="0079296B" w:rsidRDefault="0079296B">
      <w:pPr>
        <w:pStyle w:val="Heading2"/>
      </w:pPr>
      <w:bookmarkStart w:id="514" w:name="_Toc514121359"/>
      <w:bookmarkStart w:id="515" w:name="_Toc514121648"/>
      <w:bookmarkStart w:id="516" w:name="_Toc514121725"/>
      <w:bookmarkStart w:id="517" w:name="_Toc514122644"/>
      <w:bookmarkStart w:id="518" w:name="_Toc514241184"/>
      <w:bookmarkStart w:id="519" w:name="_Toc514287997"/>
      <w:bookmarkStart w:id="520" w:name="_Toc514312392"/>
      <w:bookmarkStart w:id="521" w:name="_Toc514373631"/>
      <w:bookmarkStart w:id="522" w:name="_Toc514487532"/>
      <w:bookmarkStart w:id="523" w:name="_Toc514489840"/>
      <w:bookmarkStart w:id="524" w:name="_Toc514490289"/>
      <w:bookmarkStart w:id="525" w:name="_Toc514562101"/>
      <w:bookmarkStart w:id="526" w:name="_Toc9618558"/>
      <w:r>
        <w:t>MIP Continuation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7260E642" w14:textId="77777777" w:rsidR="0079296B" w:rsidRDefault="0079296B">
      <w:r>
        <w:t>With the exception of fraud/misconduct cases, any MIP participant losing eligibility (for example due to ending employment, divorce, or child ending dependency) is eligible for MIP Continuation for up to 36 months from the end of coverage, generally the last day of the month that the life event occurred.</w:t>
      </w:r>
      <w:r>
        <w:rPr>
          <w:rStyle w:val="FootnoteReference"/>
        </w:rPr>
        <w:footnoteReference w:id="10"/>
      </w:r>
      <w:r>
        <w:t xml:space="preserve">  The plan design and benefits under MIP Continuation is provided without subsidy from the World Bank Group.  The cost</w:t>
      </w:r>
      <w:r w:rsidR="000A54FD">
        <w:t xml:space="preserve"> of</w:t>
      </w:r>
      <w:r>
        <w:t xml:space="preserve"> MIP Continuation is adjusted annually at the same time as adjustments to normal MIP premiums (generally January 1 for active staff, and May 1 for retirees).</w:t>
      </w:r>
    </w:p>
    <w:p w14:paraId="0A6E5735" w14:textId="77777777" w:rsidR="0079296B" w:rsidRDefault="0079296B">
      <w:r>
        <w:t xml:space="preserve">Once you contact HR </w:t>
      </w:r>
      <w:r w:rsidR="0027031D">
        <w:t>Operations</w:t>
      </w:r>
      <w:r>
        <w:t xml:space="preserve"> with a life event notification that ends MIP eligibility, or once you resign from active World Bank Group employment (and are not immediately enrolling in the Retiree MIP), HR </w:t>
      </w:r>
      <w:r w:rsidR="0027031D">
        <w:t>Operations</w:t>
      </w:r>
      <w:r>
        <w:t xml:space="preserve"> will provide you or your eligible dependent with an application form for MIP Continuation and the monthly premium required.  You will have 60 calendar days from the end of MIP Coverage to enroll in MIP Continuation.  If you do not meet this deadline, you lose MIP Continuation eligibility.  In order to enroll in MIP Continuation, our MIP Continuation billing administrator must </w:t>
      </w:r>
      <w:r>
        <w:rPr>
          <w:u w:val="single"/>
        </w:rPr>
        <w:t>receive</w:t>
      </w:r>
      <w:r>
        <w:t xml:space="preserve"> your completed and signed application form, with a US$-denominated check for at least the first month’s premium, by the deadline date.</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7803"/>
      </w:tblGrid>
      <w:tr w:rsidR="0079296B" w14:paraId="62690764" w14:textId="77777777">
        <w:tc>
          <w:tcPr>
            <w:tcW w:w="828" w:type="dxa"/>
            <w:tcBorders>
              <w:right w:val="nil"/>
            </w:tcBorders>
          </w:tcPr>
          <w:p w14:paraId="46144F04" w14:textId="77777777" w:rsidR="0079296B" w:rsidRDefault="00A340D4">
            <w:r>
              <w:rPr>
                <w:noProof/>
              </w:rPr>
              <w:drawing>
                <wp:inline distT="0" distB="0" distL="0" distR="0" wp14:anchorId="2E8C7F7A" wp14:editId="5F0329F5">
                  <wp:extent cx="381000" cy="381000"/>
                  <wp:effectExtent l="0" t="0" r="0" b="0"/>
                  <wp:docPr id="3" name="Picture 3" descr="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028" w:type="dxa"/>
            <w:tcBorders>
              <w:left w:val="nil"/>
            </w:tcBorders>
            <w:vAlign w:val="center"/>
          </w:tcPr>
          <w:p w14:paraId="1428203A" w14:textId="77777777" w:rsidR="0079296B" w:rsidRDefault="0079296B" w:rsidP="004E3743">
            <w:r>
              <w:t xml:space="preserve">You must contact </w:t>
            </w:r>
            <w:r w:rsidR="0027031D">
              <w:t>HR Operations</w:t>
            </w:r>
            <w:r w:rsidR="004E3743">
              <w:t xml:space="preserve"> </w:t>
            </w:r>
            <w:r w:rsidR="00242360">
              <w:t xml:space="preserve">at </w:t>
            </w:r>
            <w:hyperlink r:id="rId17" w:history="1">
              <w:r w:rsidR="004E3743" w:rsidRPr="004E3743">
                <w:rPr>
                  <w:rStyle w:val="Hyperlink"/>
                </w:rPr>
                <w:t>hroperations@worldbank.org</w:t>
              </w:r>
            </w:hyperlink>
            <w:r w:rsidR="00242360">
              <w:t xml:space="preserve"> </w:t>
            </w:r>
            <w:r>
              <w:t>to obtain an application for MIP Continuation.</w:t>
            </w:r>
          </w:p>
        </w:tc>
      </w:tr>
    </w:tbl>
    <w:p w14:paraId="724D7B9D" w14:textId="77777777" w:rsidR="00C01931" w:rsidRDefault="0079296B">
      <w:r>
        <w:lastRenderedPageBreak/>
        <w:br/>
        <w:t xml:space="preserve">Aetna is our MIP Continuation billing administrator, even for participants who elected the International Administrator.  Thus, MIP Continuation with </w:t>
      </w:r>
      <w:r w:rsidR="002C4482">
        <w:t>Cigna</w:t>
      </w:r>
      <w:r>
        <w:t xml:space="preserve"> is available to anyone losing eligibility while in the International Administrator option, but the monthly premium payments for the MIP Continuation coverage, payable to “IBRD” in US$, are mailed to Aetna.  </w:t>
      </w:r>
      <w:r w:rsidR="00C01931">
        <w:t>Contact Aetna regarding electronic billing arrangements.</w:t>
      </w:r>
    </w:p>
    <w:p w14:paraId="218C32A5" w14:textId="77777777" w:rsidR="0079296B" w:rsidRDefault="0079296B">
      <w:r>
        <w:t xml:space="preserve">MIP Continuation must occur under the same Option and Administrator (Aetna or </w:t>
      </w:r>
      <w:r w:rsidR="002C4482">
        <w:t>Cigna</w:t>
      </w:r>
      <w:r>
        <w:t>) as was in effect when MIP eligibility ends, which cannot change once started.</w:t>
      </w:r>
      <w:bookmarkStart w:id="527" w:name="_Toc514121365"/>
      <w:bookmarkStart w:id="528" w:name="_Toc514121654"/>
      <w:bookmarkStart w:id="529" w:name="_Toc514121731"/>
      <w:bookmarkStart w:id="530" w:name="_Toc514122650"/>
      <w:r>
        <w:rPr>
          <w:rStyle w:val="FootnoteReference"/>
        </w:rPr>
        <w:footnoteReference w:id="11"/>
      </w:r>
      <w:r>
        <w:t xml:space="preserve"> </w:t>
      </w:r>
      <w:bookmarkEnd w:id="527"/>
      <w:bookmarkEnd w:id="528"/>
      <w:bookmarkEnd w:id="529"/>
      <w:bookmarkEnd w:id="530"/>
    </w:p>
    <w:p w14:paraId="1A7F9A1E" w14:textId="77777777" w:rsidR="0079296B" w:rsidRDefault="0079296B">
      <w:pPr>
        <w:pStyle w:val="Heading2"/>
      </w:pPr>
      <w:bookmarkStart w:id="531" w:name="_Toc514121360"/>
      <w:bookmarkStart w:id="532" w:name="_Toc514121649"/>
      <w:bookmarkStart w:id="533" w:name="_Toc514121726"/>
      <w:bookmarkStart w:id="534" w:name="_Toc514122645"/>
      <w:bookmarkStart w:id="535" w:name="_Toc514241186"/>
      <w:bookmarkStart w:id="536" w:name="_Toc514287998"/>
      <w:bookmarkStart w:id="537" w:name="_Toc514312393"/>
      <w:bookmarkStart w:id="538" w:name="_Toc514373632"/>
      <w:bookmarkStart w:id="539" w:name="_Toc514487533"/>
      <w:bookmarkStart w:id="540" w:name="_Toc514489841"/>
      <w:bookmarkStart w:id="541" w:name="_Toc514490290"/>
      <w:bookmarkStart w:id="542" w:name="_Toc514562102"/>
      <w:bookmarkStart w:id="543" w:name="_Toc9618559"/>
      <w:r>
        <w:t>Conversion After MIP Continuation</w:t>
      </w:r>
      <w:bookmarkEnd w:id="531"/>
      <w:bookmarkEnd w:id="532"/>
      <w:bookmarkEnd w:id="533"/>
      <w:bookmarkEnd w:id="534"/>
      <w:bookmarkEnd w:id="535"/>
      <w:bookmarkEnd w:id="536"/>
      <w:bookmarkEnd w:id="537"/>
      <w:bookmarkEnd w:id="538"/>
      <w:bookmarkEnd w:id="539"/>
      <w:bookmarkEnd w:id="540"/>
      <w:bookmarkEnd w:id="541"/>
      <w:bookmarkEnd w:id="542"/>
      <w:bookmarkEnd w:id="543"/>
    </w:p>
    <w:p w14:paraId="2C4830E4" w14:textId="77777777" w:rsidR="0079296B" w:rsidRDefault="00537CD1">
      <w:r w:rsidRPr="00537CD1">
        <w:t>If a</w:t>
      </w:r>
      <w:r>
        <w:t>n</w:t>
      </w:r>
      <w:r w:rsidRPr="00537CD1">
        <w:t xml:space="preserve"> </w:t>
      </w:r>
      <w:r>
        <w:t xml:space="preserve">MIP </w:t>
      </w:r>
      <w:r w:rsidR="0079296B" w:rsidRPr="00537CD1">
        <w:t>participant</w:t>
      </w:r>
      <w:r>
        <w:t xml:space="preserve"> resid</w:t>
      </w:r>
      <w:r w:rsidR="00805EC6">
        <w:t>es</w:t>
      </w:r>
      <w:r>
        <w:t xml:space="preserve"> outside the US</w:t>
      </w:r>
      <w:r w:rsidR="0079296B" w:rsidRPr="00537CD1">
        <w:t xml:space="preserve"> </w:t>
      </w:r>
      <w:r w:rsidR="00805EC6">
        <w:t xml:space="preserve">and </w:t>
      </w:r>
      <w:r w:rsidR="0079296B" w:rsidRPr="00537CD1">
        <w:t xml:space="preserve">has exhausted his/her 36 months of MIP Continuation, he/she may apply within </w:t>
      </w:r>
      <w:r w:rsidR="00242360" w:rsidRPr="00537CD1">
        <w:t>60</w:t>
      </w:r>
      <w:r w:rsidR="0079296B" w:rsidRPr="00537CD1">
        <w:t xml:space="preserve"> calendar days for a Conversion Policy directly with </w:t>
      </w:r>
      <w:r w:rsidRPr="00537CD1">
        <w:t>Cigna</w:t>
      </w:r>
      <w:r w:rsidR="0079296B" w:rsidRPr="00537CD1">
        <w:t xml:space="preserve">.  </w:t>
      </w:r>
      <w:r w:rsidR="002C4482" w:rsidRPr="00537CD1">
        <w:t>Cigna</w:t>
      </w:r>
      <w:r w:rsidR="0079296B" w:rsidRPr="00537CD1">
        <w:t xml:space="preserve"> must</w:t>
      </w:r>
      <w:r w:rsidR="008E23DA" w:rsidRPr="00537CD1">
        <w:t xml:space="preserve"> </w:t>
      </w:r>
      <w:r w:rsidR="0079296B" w:rsidRPr="00537CD1">
        <w:t>insure him/her (subject to eligibility policies), regardless of medical condition.  The Conversion Policy is completely separate from the MIP, with different coverage, administration, billing and premiums.</w:t>
      </w:r>
    </w:p>
    <w:p w14:paraId="688852F3" w14:textId="77777777" w:rsidR="009824D7" w:rsidRDefault="00805EC6">
      <w:r>
        <w:t>If an Aetna or Cigna MIP participant</w:t>
      </w:r>
      <w:r w:rsidR="00537CD1">
        <w:t xml:space="preserve"> resid</w:t>
      </w:r>
      <w:r>
        <w:t>es</w:t>
      </w:r>
      <w:r w:rsidR="00537CD1">
        <w:t xml:space="preserve"> </w:t>
      </w:r>
      <w:r>
        <w:t>with</w:t>
      </w:r>
      <w:r w:rsidR="00537CD1">
        <w:t>in the US</w:t>
      </w:r>
      <w:r>
        <w:t xml:space="preserve"> and h</w:t>
      </w:r>
      <w:r w:rsidR="00537CD1">
        <w:t xml:space="preserve">as exhausted his/her 36 months of MIP Continuation, he/she may apply for Individual coverage </w:t>
      </w:r>
      <w:r w:rsidR="00FD13B5">
        <w:t>in</w:t>
      </w:r>
      <w:r w:rsidR="00537CD1">
        <w:t xml:space="preserve"> the </w:t>
      </w:r>
      <w:r w:rsidR="00797234">
        <w:t>Health Insurance Marketplace at www.healthcare.gov.</w:t>
      </w:r>
    </w:p>
    <w:p w14:paraId="50E30FFD" w14:textId="77777777" w:rsidR="0079296B" w:rsidRDefault="0079296B">
      <w:pPr>
        <w:pStyle w:val="Heading1"/>
      </w:pPr>
      <w:bookmarkStart w:id="544" w:name="_Toc511095384"/>
      <w:bookmarkStart w:id="545" w:name="_Toc514121361"/>
      <w:bookmarkStart w:id="546" w:name="_Toc514121650"/>
      <w:bookmarkStart w:id="547" w:name="_Toc514121727"/>
      <w:bookmarkStart w:id="548" w:name="_Toc514122646"/>
      <w:bookmarkStart w:id="549" w:name="_Toc514241187"/>
      <w:bookmarkStart w:id="550" w:name="_Ref514282820"/>
      <w:bookmarkStart w:id="551" w:name="_Ref514284072"/>
      <w:bookmarkStart w:id="552" w:name="_Toc514287999"/>
      <w:bookmarkStart w:id="553" w:name="_Toc514312394"/>
      <w:bookmarkStart w:id="554" w:name="_Toc514373633"/>
      <w:bookmarkStart w:id="555" w:name="_Toc514487534"/>
      <w:bookmarkStart w:id="556" w:name="_Toc514489842"/>
      <w:bookmarkStart w:id="557" w:name="_Toc514490291"/>
      <w:bookmarkStart w:id="558" w:name="_Toc514562103"/>
      <w:bookmarkStart w:id="559" w:name="_Toc9618560"/>
      <w:r>
        <w:t>Coordination With Aetna</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31E94357" w14:textId="77777777" w:rsidR="0079296B" w:rsidRDefault="0079296B">
      <w:r>
        <w:t xml:space="preserve">If you elect to switch Administrators, </w:t>
      </w:r>
      <w:r w:rsidR="002C4482">
        <w:t>Cigna</w:t>
      </w:r>
      <w:r>
        <w:t xml:space="preserve"> and Aetna will exchange information about you and your family’s accrual on deductibles, dates of last medical exams, etc.  In order to effectively manage this transition, you should be up-to-date with filing of claims with the prior Administrator before you switch to the new Administrator.</w:t>
      </w:r>
    </w:p>
    <w:p w14:paraId="5CC91FB2" w14:textId="77777777" w:rsidR="0079296B" w:rsidRDefault="0079296B">
      <w:r>
        <w:t xml:space="preserve">Claims must be processed with the Administrator in effect when the participant received the medical or dental service.  Since the MIP allows claims submission for the previous calendar year, participants who do not file claims in a timely manner may send claims to Aetna after a switch to </w:t>
      </w:r>
      <w:r w:rsidR="002C4482">
        <w:t>Cigna</w:t>
      </w:r>
      <w:r>
        <w:t xml:space="preserve">, or vice versa.  Once </w:t>
      </w:r>
      <w:r w:rsidR="002C4482">
        <w:t>Cigna</w:t>
      </w:r>
      <w:r>
        <w:t xml:space="preserve"> and Aetna exchange information about mid-year accumulation of deductibles, lifetime maxima, out-of-pocket expenses, etc., claims received thereafter by the prior Administrator for services prior to the switch date will be processed without coordination. This could reduce your financial coverage.</w:t>
      </w:r>
    </w:p>
    <w:p w14:paraId="2AD1C742" w14:textId="77777777" w:rsidR="0079296B" w:rsidRDefault="0079296B">
      <w:pPr>
        <w:pStyle w:val="Heading1"/>
      </w:pPr>
      <w:bookmarkStart w:id="560" w:name="_Toc514121363"/>
      <w:bookmarkStart w:id="561" w:name="_Toc514121652"/>
      <w:bookmarkStart w:id="562" w:name="_Toc514121729"/>
      <w:bookmarkStart w:id="563" w:name="_Toc514122648"/>
      <w:bookmarkStart w:id="564" w:name="_Toc514241188"/>
      <w:bookmarkStart w:id="565" w:name="_Toc514288000"/>
      <w:bookmarkStart w:id="566" w:name="_Toc514312395"/>
      <w:bookmarkStart w:id="567" w:name="_Toc514373634"/>
      <w:bookmarkStart w:id="568" w:name="_Toc514487535"/>
      <w:bookmarkStart w:id="569" w:name="_Toc514489843"/>
      <w:bookmarkStart w:id="570" w:name="_Toc514490292"/>
      <w:bookmarkStart w:id="571" w:name="_Toc514562104"/>
      <w:bookmarkStart w:id="572" w:name="_Toc9618561"/>
      <w:r>
        <w:lastRenderedPageBreak/>
        <w:t>National Medical Plans</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4CD5EF6A" w14:textId="77777777" w:rsidR="0079296B" w:rsidRDefault="0079296B">
      <w:r>
        <w:t>Retiree MIP participants are obligated to join any national health plan for which they are eligible and for which they can participate on the same level as other nationals of their</w:t>
      </w:r>
      <w:r w:rsidR="008E23DA">
        <w:t xml:space="preserve"> </w:t>
      </w:r>
      <w:r>
        <w:t xml:space="preserve">country of residence (e.g., Medicare in the U.S.).  You should report such enrollment of you and/or your spouse to the HR </w:t>
      </w:r>
      <w:r w:rsidR="0027031D">
        <w:t>Operations</w:t>
      </w:r>
      <w:r>
        <w:t xml:space="preserve">, as it will reduce the premium you pay for the Retiree MIP.  Like Aetna, </w:t>
      </w:r>
      <w:r w:rsidR="002C4482">
        <w:t>Cigna</w:t>
      </w:r>
      <w:r>
        <w:t xml:space="preserve"> will coordinate your MIP coverage with any national health plan coverage.</w:t>
      </w:r>
    </w:p>
    <w:p w14:paraId="464E9770" w14:textId="77777777" w:rsidR="0079296B" w:rsidRDefault="0079296B">
      <w:pPr>
        <w:pStyle w:val="Heading1"/>
      </w:pPr>
      <w:bookmarkStart w:id="573" w:name="_Toc511095385"/>
      <w:bookmarkStart w:id="574" w:name="_Toc514121366"/>
      <w:bookmarkStart w:id="575" w:name="_Toc514121655"/>
      <w:bookmarkStart w:id="576" w:name="_Toc514121732"/>
      <w:bookmarkStart w:id="577" w:name="_Toc514122651"/>
      <w:bookmarkStart w:id="578" w:name="_Toc514241189"/>
      <w:bookmarkStart w:id="579" w:name="_Toc514288001"/>
      <w:bookmarkStart w:id="580" w:name="_Toc514312396"/>
      <w:bookmarkStart w:id="581" w:name="_Toc514373635"/>
      <w:bookmarkStart w:id="582" w:name="_Toc514487536"/>
      <w:bookmarkStart w:id="583" w:name="_Toc514489844"/>
      <w:bookmarkStart w:id="584" w:name="_Toc514490293"/>
      <w:bookmarkStart w:id="585" w:name="_Toc514562105"/>
      <w:bookmarkStart w:id="586" w:name="_Toc9618562"/>
      <w:r>
        <w:t xml:space="preserve">Switching Between Aetna and </w:t>
      </w:r>
      <w:r w:rsidR="002C4482">
        <w:t>Cigna</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50148D09" w14:textId="77777777" w:rsidR="0079296B" w:rsidRDefault="0079296B">
      <w:pPr>
        <w:pStyle w:val="Heading2"/>
      </w:pPr>
      <w:bookmarkStart w:id="587" w:name="_Toc514122652"/>
      <w:bookmarkStart w:id="588" w:name="_Toc514241190"/>
      <w:bookmarkStart w:id="589" w:name="_Toc514288002"/>
      <w:bookmarkStart w:id="590" w:name="_Toc514312397"/>
      <w:bookmarkStart w:id="591" w:name="_Toc514373636"/>
      <w:bookmarkStart w:id="592" w:name="_Toc514487537"/>
      <w:bookmarkStart w:id="593" w:name="_Toc514489845"/>
      <w:bookmarkStart w:id="594" w:name="_Toc514490294"/>
      <w:bookmarkStart w:id="595" w:name="_Toc514562106"/>
      <w:bookmarkStart w:id="596" w:name="_Toc9618563"/>
      <w:r>
        <w:t>Retirees</w:t>
      </w:r>
      <w:bookmarkEnd w:id="587"/>
      <w:bookmarkEnd w:id="588"/>
      <w:bookmarkEnd w:id="589"/>
      <w:bookmarkEnd w:id="590"/>
      <w:bookmarkEnd w:id="591"/>
      <w:bookmarkEnd w:id="592"/>
      <w:bookmarkEnd w:id="593"/>
      <w:bookmarkEnd w:id="594"/>
      <w:bookmarkEnd w:id="595"/>
      <w:bookmarkEnd w:id="596"/>
    </w:p>
    <w:p w14:paraId="3F737AF2" w14:textId="77777777" w:rsidR="0079296B" w:rsidRDefault="0079296B">
      <w:pPr>
        <w:pStyle w:val="Heading3"/>
      </w:pPr>
      <w:bookmarkStart w:id="597" w:name="_Toc514121368"/>
      <w:bookmarkStart w:id="598" w:name="_Toc514121657"/>
      <w:bookmarkStart w:id="599" w:name="_Toc514121734"/>
      <w:bookmarkStart w:id="600" w:name="_Toc514122654"/>
      <w:bookmarkStart w:id="601" w:name="_Toc514241192"/>
      <w:bookmarkStart w:id="602" w:name="_Toc514288004"/>
      <w:bookmarkStart w:id="603" w:name="_Toc514312399"/>
      <w:bookmarkStart w:id="604" w:name="_Toc514373638"/>
      <w:bookmarkStart w:id="605" w:name="_Toc514487539"/>
      <w:bookmarkStart w:id="606" w:name="_Toc514489847"/>
      <w:bookmarkStart w:id="607" w:name="_Toc514490296"/>
      <w:bookmarkStart w:id="608" w:name="_Toc514562108"/>
      <w:bookmarkStart w:id="609" w:name="_Toc9618564"/>
      <w:r>
        <w:t>General</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4C40663D" w14:textId="77777777" w:rsidR="0079296B" w:rsidRDefault="0079296B">
      <w:r>
        <w:t>Each December, retirees with a non-U.S. pension mailing address who are enrolled with the Domestic Administrator may switch to the International Administrator for effect the following calendar year.  Also each December, any retiree who elected the International Administrator may switch to the Domestic Administrator.  Retirees must stay with the option (International or Domestic) they elected for the full calendar year.</w:t>
      </w:r>
    </w:p>
    <w:p w14:paraId="5D9F0135" w14:textId="77777777" w:rsidR="0079296B" w:rsidRDefault="0079296B">
      <w:pPr>
        <w:pStyle w:val="Heading3"/>
      </w:pPr>
      <w:bookmarkStart w:id="610" w:name="_Toc514288005"/>
      <w:bookmarkStart w:id="611" w:name="_Toc514312400"/>
      <w:bookmarkStart w:id="612" w:name="_Toc514373639"/>
      <w:bookmarkStart w:id="613" w:name="_Toc514487540"/>
      <w:bookmarkStart w:id="614" w:name="_Toc514489848"/>
      <w:bookmarkStart w:id="615" w:name="_Toc514490297"/>
      <w:bookmarkStart w:id="616" w:name="_Toc514562109"/>
      <w:bookmarkStart w:id="617" w:name="_Toc9618565"/>
      <w:r>
        <w:t>Active Staff Who Retire</w:t>
      </w:r>
      <w:bookmarkEnd w:id="610"/>
      <w:bookmarkEnd w:id="611"/>
      <w:bookmarkEnd w:id="612"/>
      <w:bookmarkEnd w:id="613"/>
      <w:bookmarkEnd w:id="614"/>
      <w:bookmarkEnd w:id="615"/>
      <w:bookmarkEnd w:id="616"/>
      <w:bookmarkEnd w:id="617"/>
    </w:p>
    <w:p w14:paraId="37FE404C" w14:textId="77777777" w:rsidR="0079296B" w:rsidRDefault="0079296B">
      <w:r>
        <w:t xml:space="preserve"> </w:t>
      </w:r>
      <w:r w:rsidR="002D3511">
        <w:t xml:space="preserve">A </w:t>
      </w:r>
      <w:r>
        <w:t>retiree whose Pension mailing address is non-U.S. may elect to switch to the International Administrator, as long as the request is made prior to June 15 of any calendar year</w:t>
      </w:r>
      <w:r w:rsidR="002D3511">
        <w:t xml:space="preserve"> or during annual enrollment for an effective date of 1/1 of the following year</w:t>
      </w:r>
      <w:r>
        <w:t>.</w:t>
      </w:r>
    </w:p>
    <w:p w14:paraId="2FF5689F" w14:textId="77777777" w:rsidR="0079296B" w:rsidRDefault="0079296B">
      <w:pPr>
        <w:pStyle w:val="Heading2"/>
      </w:pPr>
      <w:bookmarkStart w:id="618" w:name="_Toc514121369"/>
      <w:bookmarkStart w:id="619" w:name="_Toc514121658"/>
      <w:bookmarkStart w:id="620" w:name="_Toc514121735"/>
      <w:bookmarkStart w:id="621" w:name="_Toc514122655"/>
      <w:bookmarkStart w:id="622" w:name="_Toc514241193"/>
      <w:bookmarkStart w:id="623" w:name="_Toc514288006"/>
      <w:bookmarkStart w:id="624" w:name="_Toc514312401"/>
      <w:bookmarkStart w:id="625" w:name="_Toc514373640"/>
      <w:bookmarkStart w:id="626" w:name="_Toc514487541"/>
      <w:bookmarkStart w:id="627" w:name="_Toc514489849"/>
      <w:bookmarkStart w:id="628" w:name="_Toc514490298"/>
      <w:bookmarkStart w:id="629" w:name="_Toc514562110"/>
      <w:bookmarkStart w:id="630" w:name="_Toc9618566"/>
      <w:r>
        <w:t>Active S</w:t>
      </w:r>
      <w:bookmarkEnd w:id="618"/>
      <w:bookmarkEnd w:id="619"/>
      <w:bookmarkEnd w:id="620"/>
      <w:bookmarkEnd w:id="621"/>
      <w:bookmarkEnd w:id="622"/>
      <w:bookmarkEnd w:id="623"/>
      <w:bookmarkEnd w:id="624"/>
      <w:bookmarkEnd w:id="625"/>
      <w:bookmarkEnd w:id="626"/>
      <w:bookmarkEnd w:id="627"/>
      <w:bookmarkEnd w:id="628"/>
      <w:bookmarkEnd w:id="629"/>
      <w:r>
        <w:t>taff</w:t>
      </w:r>
      <w:bookmarkEnd w:id="630"/>
    </w:p>
    <w:p w14:paraId="74BB5A66" w14:textId="77777777" w:rsidR="0079296B" w:rsidRDefault="0079296B">
      <w:r>
        <w:t>Eligible active staff</w:t>
      </w:r>
      <w:r>
        <w:rPr>
          <w:rStyle w:val="FootnoteReference"/>
        </w:rPr>
        <w:footnoteReference w:id="12"/>
      </w:r>
      <w:r>
        <w:t xml:space="preserve"> may elect the Inter</w:t>
      </w:r>
      <w:r w:rsidR="008E23DA">
        <w:t>national Administrator within 60</w:t>
      </w:r>
      <w:r>
        <w:t xml:space="preserve"> calendar days of the start date of an extended assignment away from He</w:t>
      </w:r>
      <w:r w:rsidR="008E23DA">
        <w:t>adquarters (see Staff Rule 6.17</w:t>
      </w:r>
      <w:r>
        <w:t>).  Thereafter, staff on extended assignment will have the opportunity to elect the International Administrator each December for effect during the following calendar year.</w:t>
      </w:r>
    </w:p>
    <w:p w14:paraId="5287F590" w14:textId="77777777" w:rsidR="0079296B" w:rsidRDefault="0079296B">
      <w:r>
        <w:t>Staff on Leave Without Pay, External Service (with or without pay), or telecommuting assignments who are residing outside the U.S. and who are participating in the MIP may also elect the International Administrator, provided the assignment is over one year in duration and includes a full calendar year (January to December).</w:t>
      </w:r>
    </w:p>
    <w:p w14:paraId="44E46E8D" w14:textId="77777777" w:rsidR="0079296B" w:rsidRDefault="0079296B">
      <w:r>
        <w:lastRenderedPageBreak/>
        <w:t>If a staff member in MIP Option C elects the International Administrator, he or she must choose Option A or Option B, since there is no equivalent Option C (Point of Service) plan under the International Administrator.</w:t>
      </w:r>
    </w:p>
    <w:p w14:paraId="0A71FDE1" w14:textId="77777777" w:rsidR="0079296B" w:rsidRDefault="0079296B">
      <w:r>
        <w:t>Upon return to the U.S., participation in the International Administrato</w:t>
      </w:r>
      <w:r w:rsidR="00B75104">
        <w:t>r</w:t>
      </w:r>
      <w:r>
        <w:t xml:space="preserve"> ends, and the staff member will be transferred automatically to the Domestic Administrator.  The transfer occurs at the same MIP Option (A or B) as that administered by </w:t>
      </w:r>
      <w:r w:rsidR="002C4482">
        <w:t>Cigna</w:t>
      </w:r>
      <w:r>
        <w:t xml:space="preserve">.  </w:t>
      </w:r>
      <w:r w:rsidR="008E23DA">
        <w:t>A</w:t>
      </w:r>
      <w:r w:rsidR="00184CC9">
        <w:t xml:space="preserve"> staff member may elect Option C w</w:t>
      </w:r>
      <w:r>
        <w:t xml:space="preserve">ithin </w:t>
      </w:r>
      <w:r w:rsidR="00B75104">
        <w:t>60</w:t>
      </w:r>
      <w:r>
        <w:t xml:space="preserve"> days of the transfer</w:t>
      </w:r>
      <w:r w:rsidR="00184CC9">
        <w:t xml:space="preserve"> by cont</w:t>
      </w:r>
      <w:r>
        <w:t xml:space="preserve">acting the HR </w:t>
      </w:r>
      <w:r w:rsidR="0027031D">
        <w:t>Operations</w:t>
      </w:r>
      <w:r>
        <w:t>.</w:t>
      </w:r>
      <w:r>
        <w:rPr>
          <w:rStyle w:val="FootnoteReference"/>
        </w:rPr>
        <w:footnoteReference w:id="13"/>
      </w:r>
    </w:p>
    <w:p w14:paraId="52254E5E" w14:textId="77777777" w:rsidR="0079296B" w:rsidRDefault="0079296B">
      <w:pPr>
        <w:pStyle w:val="Heading1"/>
      </w:pPr>
      <w:bookmarkStart w:id="631" w:name="_Toc514241196"/>
      <w:bookmarkStart w:id="632" w:name="_Toc514288009"/>
      <w:bookmarkStart w:id="633" w:name="_Toc514312404"/>
      <w:bookmarkStart w:id="634" w:name="_Toc514373643"/>
      <w:bookmarkStart w:id="635" w:name="_Toc514487544"/>
      <w:bookmarkStart w:id="636" w:name="_Toc514489852"/>
      <w:bookmarkStart w:id="637" w:name="_Toc514490301"/>
      <w:bookmarkStart w:id="638" w:name="_Toc514562113"/>
      <w:bookmarkStart w:id="639" w:name="_Toc9618567"/>
      <w:r>
        <w:t>Contact Information</w:t>
      </w:r>
      <w:bookmarkEnd w:id="631"/>
      <w:bookmarkEnd w:id="632"/>
      <w:bookmarkEnd w:id="633"/>
      <w:bookmarkEnd w:id="634"/>
      <w:bookmarkEnd w:id="635"/>
      <w:bookmarkEnd w:id="636"/>
      <w:bookmarkEnd w:id="637"/>
      <w:bookmarkEnd w:id="638"/>
      <w:bookmarkEnd w:id="639"/>
    </w:p>
    <w:p w14:paraId="7C3C5DBD" w14:textId="77777777" w:rsidR="0079296B" w:rsidRDefault="002C4482">
      <w:pPr>
        <w:pStyle w:val="Heading2"/>
      </w:pPr>
      <w:bookmarkStart w:id="640" w:name="_Toc9618568"/>
      <w:bookmarkStart w:id="641" w:name="_Ref514235311"/>
      <w:bookmarkStart w:id="642" w:name="_Toc514241197"/>
      <w:bookmarkStart w:id="643" w:name="_Toc514288010"/>
      <w:bookmarkStart w:id="644" w:name="_Toc514312405"/>
      <w:bookmarkStart w:id="645" w:name="_Toc514373644"/>
      <w:bookmarkStart w:id="646" w:name="_Toc514487545"/>
      <w:bookmarkStart w:id="647" w:name="_Toc514489853"/>
      <w:bookmarkStart w:id="648" w:name="_Toc514490302"/>
      <w:bookmarkStart w:id="649" w:name="_Toc514562114"/>
      <w:r>
        <w:t>Cigna</w:t>
      </w:r>
      <w:bookmarkEnd w:id="640"/>
      <w:r w:rsidR="0079296B">
        <w:t xml:space="preserve"> </w:t>
      </w:r>
      <w:bookmarkEnd w:id="641"/>
      <w:bookmarkEnd w:id="642"/>
      <w:bookmarkEnd w:id="643"/>
      <w:bookmarkEnd w:id="644"/>
      <w:bookmarkEnd w:id="645"/>
      <w:bookmarkEnd w:id="646"/>
      <w:bookmarkEnd w:id="647"/>
      <w:bookmarkEnd w:id="648"/>
      <w:bookmarkEnd w:id="649"/>
    </w:p>
    <w:p w14:paraId="32E50396" w14:textId="77777777" w:rsidR="0079296B" w:rsidRDefault="0079296B">
      <w:r>
        <w:t xml:space="preserve">Contact </w:t>
      </w:r>
      <w:r w:rsidR="002C4482">
        <w:t>Cigna</w:t>
      </w:r>
      <w:r>
        <w:t xml:space="preserve"> for general questions on direct billing, affiliated providers, direct billing, negotiated-fee arrangements, international access, claims management, claims reimbursement,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8"/>
        <w:gridCol w:w="5388"/>
      </w:tblGrid>
      <w:tr w:rsidR="0079296B" w14:paraId="6743571C" w14:textId="77777777">
        <w:tc>
          <w:tcPr>
            <w:tcW w:w="3468" w:type="dxa"/>
          </w:tcPr>
          <w:p w14:paraId="16C768F0" w14:textId="77777777" w:rsidR="0079296B" w:rsidRDefault="0079296B">
            <w:pPr>
              <w:spacing w:before="0" w:beforeAutospacing="0" w:after="0" w:afterAutospacing="0"/>
            </w:pPr>
            <w:r>
              <w:t>Email:</w:t>
            </w:r>
          </w:p>
        </w:tc>
        <w:tc>
          <w:tcPr>
            <w:tcW w:w="5388" w:type="dxa"/>
          </w:tcPr>
          <w:p w14:paraId="7B1171B0" w14:textId="77777777" w:rsidR="0079296B" w:rsidRDefault="004056D4">
            <w:pPr>
              <w:spacing w:before="0" w:beforeAutospacing="0" w:after="0" w:afterAutospacing="0"/>
            </w:pPr>
            <w:hyperlink r:id="rId18" w:history="1">
              <w:r w:rsidR="002C4482">
                <w:rPr>
                  <w:rStyle w:val="Hyperlink"/>
                </w:rPr>
                <w:t>wbg.mip@cigna.com</w:t>
              </w:r>
            </w:hyperlink>
          </w:p>
        </w:tc>
      </w:tr>
      <w:tr w:rsidR="0079296B" w14:paraId="1C541149" w14:textId="77777777">
        <w:tc>
          <w:tcPr>
            <w:tcW w:w="3468" w:type="dxa"/>
          </w:tcPr>
          <w:p w14:paraId="1D71B5D9" w14:textId="77777777" w:rsidR="0079296B" w:rsidRDefault="0079296B">
            <w:pPr>
              <w:spacing w:before="0" w:beforeAutospacing="0" w:after="0" w:afterAutospacing="0"/>
            </w:pPr>
            <w:r>
              <w:t>Web address:</w:t>
            </w:r>
          </w:p>
        </w:tc>
        <w:tc>
          <w:tcPr>
            <w:tcW w:w="5388" w:type="dxa"/>
          </w:tcPr>
          <w:p w14:paraId="2E5A1628" w14:textId="77777777" w:rsidR="0079296B" w:rsidRDefault="004056D4">
            <w:pPr>
              <w:spacing w:before="0" w:beforeAutospacing="0" w:after="0" w:afterAutospacing="0"/>
            </w:pPr>
            <w:hyperlink r:id="rId19" w:history="1">
              <w:r w:rsidR="002C4482">
                <w:rPr>
                  <w:rStyle w:val="Hyperlink"/>
                </w:rPr>
                <w:t>http://www.cignahealthbenefits.com</w:t>
              </w:r>
            </w:hyperlink>
          </w:p>
          <w:p w14:paraId="5110CB94" w14:textId="77777777" w:rsidR="0079296B" w:rsidRDefault="0079296B">
            <w:pPr>
              <w:spacing w:before="0" w:beforeAutospacing="0" w:after="0" w:afterAutospacing="0"/>
            </w:pPr>
            <w:r>
              <w:t>To search for providers:</w:t>
            </w:r>
          </w:p>
          <w:p w14:paraId="0C5EDECF" w14:textId="77777777" w:rsidR="0079296B" w:rsidRDefault="0079296B">
            <w:pPr>
              <w:numPr>
                <w:ilvl w:val="0"/>
                <w:numId w:val="32"/>
              </w:numPr>
              <w:spacing w:before="0" w:beforeAutospacing="0" w:after="0" w:afterAutospacing="0"/>
            </w:pPr>
            <w:r>
              <w:t xml:space="preserve">click on “Personal Access.”  </w:t>
            </w:r>
          </w:p>
          <w:p w14:paraId="2E967036" w14:textId="77777777" w:rsidR="0079296B" w:rsidRDefault="0079296B">
            <w:pPr>
              <w:numPr>
                <w:ilvl w:val="0"/>
                <w:numId w:val="32"/>
              </w:numPr>
              <w:spacing w:before="0" w:beforeAutospacing="0" w:after="0" w:afterAutospacing="0"/>
            </w:pPr>
            <w:r>
              <w:t xml:space="preserve">In the first line marked “Index Number,” in the leftmost box, type this: </w:t>
            </w:r>
            <w:r>
              <w:rPr>
                <w:b/>
                <w:bCs/>
              </w:rPr>
              <w:t>200</w:t>
            </w:r>
          </w:p>
          <w:p w14:paraId="5C5B8641" w14:textId="77777777" w:rsidR="002C4482" w:rsidRDefault="0079296B" w:rsidP="001C624B">
            <w:pPr>
              <w:numPr>
                <w:ilvl w:val="0"/>
                <w:numId w:val="32"/>
              </w:numPr>
              <w:spacing w:before="0" w:beforeAutospacing="0" w:after="0" w:afterAutospacing="0"/>
            </w:pPr>
            <w:r>
              <w:t xml:space="preserve">In the right </w:t>
            </w:r>
            <w:r w:rsidR="002C4482">
              <w:t>box of “Index Number,” type your UPI number.</w:t>
            </w:r>
          </w:p>
          <w:p w14:paraId="3E3A661F" w14:textId="77777777" w:rsidR="0079296B" w:rsidRDefault="0079296B" w:rsidP="001C624B">
            <w:pPr>
              <w:numPr>
                <w:ilvl w:val="0"/>
                <w:numId w:val="32"/>
              </w:numPr>
              <w:spacing w:before="0" w:beforeAutospacing="0" w:after="0" w:afterAutospacing="0"/>
            </w:pPr>
            <w:r>
              <w:t xml:space="preserve"> In the second line marked “Date of Birth,” type this: </w:t>
            </w:r>
            <w:r w:rsidRPr="002C4482">
              <w:rPr>
                <w:b/>
                <w:bCs/>
              </w:rPr>
              <w:t xml:space="preserve">05 </w:t>
            </w:r>
            <w:r>
              <w:t>/</w:t>
            </w:r>
            <w:r w:rsidRPr="002C4482">
              <w:rPr>
                <w:b/>
                <w:bCs/>
              </w:rPr>
              <w:t xml:space="preserve"> 05 </w:t>
            </w:r>
            <w:r>
              <w:t>/</w:t>
            </w:r>
            <w:r w:rsidRPr="002C4482">
              <w:rPr>
                <w:b/>
                <w:bCs/>
              </w:rPr>
              <w:t xml:space="preserve"> 1962 </w:t>
            </w:r>
            <w:r>
              <w:t>(slashes not required)</w:t>
            </w:r>
          </w:p>
          <w:p w14:paraId="616C8C6D" w14:textId="77777777" w:rsidR="0079296B" w:rsidRDefault="0079296B">
            <w:pPr>
              <w:numPr>
                <w:ilvl w:val="0"/>
                <w:numId w:val="32"/>
              </w:numPr>
              <w:spacing w:before="0" w:beforeAutospacing="0" w:after="0" w:afterAutospacing="0"/>
            </w:pPr>
            <w:r>
              <w:t>Click on</w:t>
            </w:r>
            <w:r>
              <w:rPr>
                <w:b/>
                <w:bCs/>
              </w:rPr>
              <w:t xml:space="preserve"> ENTER</w:t>
            </w:r>
          </w:p>
        </w:tc>
      </w:tr>
      <w:tr w:rsidR="0079296B" w14:paraId="47628603" w14:textId="77777777">
        <w:tc>
          <w:tcPr>
            <w:tcW w:w="3468" w:type="dxa"/>
          </w:tcPr>
          <w:p w14:paraId="6027CF45" w14:textId="77777777" w:rsidR="0079296B" w:rsidRDefault="0079296B">
            <w:pPr>
              <w:spacing w:before="0" w:beforeAutospacing="0" w:after="0" w:afterAutospacing="0"/>
            </w:pPr>
            <w:r>
              <w:t>Call Center Phone:</w:t>
            </w:r>
          </w:p>
          <w:p w14:paraId="72477B48" w14:textId="77777777" w:rsidR="0079296B" w:rsidRDefault="0079296B">
            <w:pPr>
              <w:spacing w:before="0" w:beforeAutospacing="0" w:after="0" w:afterAutospacing="0"/>
            </w:pPr>
            <w:r>
              <w:t>7am – 5:30pm GMT</w:t>
            </w:r>
          </w:p>
          <w:p w14:paraId="3B51649B" w14:textId="77777777" w:rsidR="0079296B" w:rsidRDefault="0079296B">
            <w:pPr>
              <w:spacing w:before="0" w:beforeAutospacing="0" w:after="0" w:afterAutospacing="0"/>
            </w:pPr>
            <w:r>
              <w:t>2am – 12:30pm Washington time</w:t>
            </w:r>
          </w:p>
        </w:tc>
        <w:tc>
          <w:tcPr>
            <w:tcW w:w="5388" w:type="dxa"/>
          </w:tcPr>
          <w:p w14:paraId="3C8D5411" w14:textId="77777777" w:rsidR="0079296B" w:rsidRDefault="0079296B">
            <w:pPr>
              <w:spacing w:before="0" w:beforeAutospacing="0" w:after="0" w:afterAutospacing="0"/>
            </w:pPr>
            <w:r>
              <w:t>++32 (3) 217.57.19</w:t>
            </w:r>
          </w:p>
          <w:p w14:paraId="14DEEE24" w14:textId="77777777" w:rsidR="0079296B" w:rsidRDefault="0079296B">
            <w:pPr>
              <w:spacing w:before="0" w:beforeAutospacing="0" w:after="0" w:afterAutospacing="0"/>
            </w:pPr>
            <w:r>
              <w:t>+800.3217.57.98 toll-free from selected countries</w:t>
            </w:r>
            <w:r>
              <w:rPr>
                <w:rStyle w:val="FootnoteReference"/>
              </w:rPr>
              <w:footnoteReference w:id="14"/>
            </w:r>
          </w:p>
        </w:tc>
      </w:tr>
      <w:tr w:rsidR="0079296B" w14:paraId="69873D42" w14:textId="77777777">
        <w:tc>
          <w:tcPr>
            <w:tcW w:w="3468" w:type="dxa"/>
          </w:tcPr>
          <w:p w14:paraId="29BBFE01" w14:textId="77777777" w:rsidR="0079296B" w:rsidRDefault="0079296B">
            <w:pPr>
              <w:spacing w:before="0" w:beforeAutospacing="0" w:after="0" w:afterAutospacing="0"/>
            </w:pPr>
            <w:r>
              <w:t>Fax:</w:t>
            </w:r>
          </w:p>
        </w:tc>
        <w:tc>
          <w:tcPr>
            <w:tcW w:w="5388" w:type="dxa"/>
          </w:tcPr>
          <w:p w14:paraId="2C0C28D5" w14:textId="77777777" w:rsidR="0079296B" w:rsidRDefault="0079296B">
            <w:pPr>
              <w:spacing w:before="0" w:beforeAutospacing="0" w:after="0" w:afterAutospacing="0"/>
            </w:pPr>
            <w:r>
              <w:t>++32 (3) 236.75.38</w:t>
            </w:r>
          </w:p>
        </w:tc>
      </w:tr>
      <w:tr w:rsidR="0079296B" w14:paraId="3E9B31D1" w14:textId="77777777">
        <w:tc>
          <w:tcPr>
            <w:tcW w:w="3468" w:type="dxa"/>
          </w:tcPr>
          <w:p w14:paraId="0445EA91" w14:textId="77777777" w:rsidR="0079296B" w:rsidRDefault="0079296B">
            <w:pPr>
              <w:spacing w:before="0" w:beforeAutospacing="0" w:after="0" w:afterAutospacing="0"/>
            </w:pPr>
            <w:r>
              <w:t>Mailing Address:</w:t>
            </w:r>
          </w:p>
        </w:tc>
        <w:tc>
          <w:tcPr>
            <w:tcW w:w="5388" w:type="dxa"/>
          </w:tcPr>
          <w:p w14:paraId="09446B23" w14:textId="77777777" w:rsidR="0079296B" w:rsidRDefault="002C4482">
            <w:pPr>
              <w:spacing w:before="0" w:beforeAutospacing="0" w:after="0" w:afterAutospacing="0"/>
              <w:rPr>
                <w:lang w:val="es-ES"/>
              </w:rPr>
            </w:pPr>
            <w:r>
              <w:rPr>
                <w:lang w:val="es-ES"/>
              </w:rPr>
              <w:t>Cigna</w:t>
            </w:r>
            <w:r w:rsidR="0079296B">
              <w:rPr>
                <w:lang w:val="es-ES"/>
              </w:rPr>
              <w:t xml:space="preserve"> International</w:t>
            </w:r>
          </w:p>
          <w:p w14:paraId="20CEC282" w14:textId="77777777" w:rsidR="0079296B" w:rsidRDefault="0079296B">
            <w:pPr>
              <w:spacing w:before="0" w:beforeAutospacing="0" w:after="0" w:afterAutospacing="0"/>
              <w:rPr>
                <w:lang w:val="es-ES"/>
              </w:rPr>
            </w:pPr>
            <w:proofErr w:type="spellStart"/>
            <w:r>
              <w:rPr>
                <w:lang w:val="es-ES"/>
              </w:rPr>
              <w:t>Postbox</w:t>
            </w:r>
            <w:proofErr w:type="spellEnd"/>
            <w:r>
              <w:rPr>
                <w:lang w:val="es-ES"/>
              </w:rPr>
              <w:t xml:space="preserve"> 69</w:t>
            </w:r>
          </w:p>
          <w:p w14:paraId="3708AFD2" w14:textId="77777777" w:rsidR="0079296B" w:rsidRDefault="0079296B">
            <w:pPr>
              <w:spacing w:before="0" w:beforeAutospacing="0" w:after="0" w:afterAutospacing="0"/>
              <w:rPr>
                <w:lang w:val="es-ES"/>
              </w:rPr>
            </w:pPr>
            <w:r>
              <w:rPr>
                <w:lang w:val="es-ES"/>
              </w:rPr>
              <w:t xml:space="preserve">2140 </w:t>
            </w:r>
            <w:proofErr w:type="spellStart"/>
            <w:r>
              <w:rPr>
                <w:lang w:val="es-ES"/>
              </w:rPr>
              <w:t>Antwerpen</w:t>
            </w:r>
            <w:proofErr w:type="spellEnd"/>
          </w:p>
          <w:p w14:paraId="634DE6C6" w14:textId="77777777" w:rsidR="0079296B" w:rsidRDefault="0079296B">
            <w:pPr>
              <w:pStyle w:val="Referencestyle"/>
              <w:spacing w:before="0" w:beforeAutospacing="0" w:after="0" w:afterAutospacing="0"/>
            </w:pPr>
            <w:r>
              <w:lastRenderedPageBreak/>
              <w:t>BELGIUM</w:t>
            </w:r>
          </w:p>
        </w:tc>
      </w:tr>
    </w:tbl>
    <w:p w14:paraId="62D2EA60" w14:textId="77777777" w:rsidR="0079296B" w:rsidRDefault="0079296B"/>
    <w:p w14:paraId="507661B4" w14:textId="77777777" w:rsidR="0079296B" w:rsidRDefault="0079296B">
      <w:pPr>
        <w:pStyle w:val="Heading2"/>
      </w:pPr>
      <w:bookmarkStart w:id="650" w:name="_Toc514121379"/>
      <w:bookmarkStart w:id="651" w:name="_Toc514121668"/>
      <w:bookmarkStart w:id="652" w:name="_Toc514121745"/>
      <w:bookmarkStart w:id="653" w:name="_Ref514121752"/>
      <w:bookmarkStart w:id="654" w:name="_Toc514122665"/>
      <w:bookmarkStart w:id="655" w:name="_Toc514241198"/>
      <w:bookmarkStart w:id="656" w:name="_Toc514288011"/>
      <w:bookmarkStart w:id="657" w:name="_Toc514312406"/>
      <w:bookmarkStart w:id="658" w:name="_Toc514373645"/>
      <w:bookmarkStart w:id="659" w:name="_Toc514487546"/>
      <w:bookmarkStart w:id="660" w:name="_Toc514489854"/>
      <w:bookmarkStart w:id="661" w:name="_Toc514490303"/>
      <w:bookmarkStart w:id="662" w:name="_Toc514562115"/>
      <w:bookmarkStart w:id="663" w:name="_Toc514121381"/>
      <w:bookmarkStart w:id="664" w:name="_Toc514121670"/>
      <w:bookmarkStart w:id="665" w:name="_Toc514121747"/>
      <w:bookmarkStart w:id="666" w:name="_Toc514122667"/>
      <w:r>
        <w:t xml:space="preserve"> </w:t>
      </w:r>
      <w:bookmarkStart w:id="667" w:name="_Toc9618569"/>
      <w:r>
        <w:t xml:space="preserve">World Bank Group HR </w:t>
      </w:r>
      <w:bookmarkEnd w:id="650"/>
      <w:bookmarkEnd w:id="651"/>
      <w:bookmarkEnd w:id="652"/>
      <w:bookmarkEnd w:id="653"/>
      <w:bookmarkEnd w:id="654"/>
      <w:bookmarkEnd w:id="655"/>
      <w:bookmarkEnd w:id="656"/>
      <w:bookmarkEnd w:id="657"/>
      <w:bookmarkEnd w:id="658"/>
      <w:bookmarkEnd w:id="659"/>
      <w:bookmarkEnd w:id="660"/>
      <w:bookmarkEnd w:id="661"/>
      <w:bookmarkEnd w:id="662"/>
      <w:r w:rsidR="002D3511">
        <w:t>Operations</w:t>
      </w:r>
      <w:bookmarkEnd w:id="667"/>
    </w:p>
    <w:p w14:paraId="688F27C1" w14:textId="77777777" w:rsidR="0079296B" w:rsidRDefault="0079296B">
      <w:r>
        <w:t>Contact for general questions about plan design, eligibility, MIP Continuation, policy governing switching Administrators, general MIP issues, etc.  Always include your UPI.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868"/>
      </w:tblGrid>
      <w:tr w:rsidR="0079296B" w14:paraId="55E2046C" w14:textId="77777777">
        <w:tc>
          <w:tcPr>
            <w:tcW w:w="2988" w:type="dxa"/>
          </w:tcPr>
          <w:p w14:paraId="56F5107F" w14:textId="77777777" w:rsidR="0079296B" w:rsidRDefault="0079296B">
            <w:pPr>
              <w:spacing w:before="0" w:beforeAutospacing="0" w:after="0" w:afterAutospacing="0"/>
            </w:pPr>
            <w:r>
              <w:t>Email:</w:t>
            </w:r>
          </w:p>
        </w:tc>
        <w:tc>
          <w:tcPr>
            <w:tcW w:w="5868" w:type="dxa"/>
          </w:tcPr>
          <w:p w14:paraId="1286BBDF" w14:textId="77777777" w:rsidR="0079296B" w:rsidRDefault="004056D4" w:rsidP="001F4FD0">
            <w:pPr>
              <w:spacing w:before="0" w:beforeAutospacing="0" w:after="0" w:afterAutospacing="0"/>
            </w:pPr>
            <w:hyperlink r:id="rId20" w:history="1">
              <w:r w:rsidR="001F4FD0">
                <w:rPr>
                  <w:rStyle w:val="Hyperlink"/>
                </w:rPr>
                <w:t>hroperations@worldbank.org</w:t>
              </w:r>
            </w:hyperlink>
          </w:p>
        </w:tc>
      </w:tr>
      <w:tr w:rsidR="0079296B" w14:paraId="3568D11A" w14:textId="77777777">
        <w:tc>
          <w:tcPr>
            <w:tcW w:w="2988" w:type="dxa"/>
          </w:tcPr>
          <w:p w14:paraId="5AD075BB" w14:textId="77777777" w:rsidR="0079296B" w:rsidRDefault="0079296B">
            <w:pPr>
              <w:spacing w:before="0" w:beforeAutospacing="0" w:after="0" w:afterAutospacing="0"/>
            </w:pPr>
            <w:r>
              <w:t>Web address:</w:t>
            </w:r>
          </w:p>
        </w:tc>
        <w:tc>
          <w:tcPr>
            <w:tcW w:w="5868" w:type="dxa"/>
          </w:tcPr>
          <w:p w14:paraId="0A416040" w14:textId="77777777" w:rsidR="0079296B" w:rsidRDefault="0079296B">
            <w:pPr>
              <w:spacing w:before="0" w:beforeAutospacing="0" w:after="0" w:afterAutospacing="0"/>
            </w:pPr>
            <w:r>
              <w:t xml:space="preserve">Internet: </w:t>
            </w:r>
            <w:r w:rsidR="006773DA" w:rsidRPr="006773DA">
              <w:rPr>
                <w:rStyle w:val="Hyperlink"/>
              </w:rPr>
              <w:t>http://www.worldbank.org/en/about/unit/human-resources</w:t>
            </w:r>
            <w:r>
              <w:t>, then click on Retiree MIP then International Administrator.</w:t>
            </w:r>
          </w:p>
          <w:p w14:paraId="09163E83" w14:textId="77777777" w:rsidR="0079296B" w:rsidRDefault="0079296B">
            <w:pPr>
              <w:spacing w:before="0" w:beforeAutospacing="0" w:after="0" w:afterAutospacing="0"/>
            </w:pPr>
            <w:r>
              <w:t xml:space="preserve">Intranet for Active Staff only: </w:t>
            </w:r>
            <w:hyperlink r:id="rId21" w:history="1">
              <w:r w:rsidR="00EE135D" w:rsidRPr="00086B4B">
                <w:rPr>
                  <w:rStyle w:val="Hyperlink"/>
                </w:rPr>
                <w:t>http://mip</w:t>
              </w:r>
            </w:hyperlink>
          </w:p>
        </w:tc>
      </w:tr>
      <w:tr w:rsidR="0079296B" w14:paraId="70BC1FF6" w14:textId="77777777">
        <w:tc>
          <w:tcPr>
            <w:tcW w:w="2988" w:type="dxa"/>
          </w:tcPr>
          <w:p w14:paraId="112A9E0D" w14:textId="77777777" w:rsidR="0079296B" w:rsidRDefault="0079296B">
            <w:pPr>
              <w:spacing w:before="0" w:beforeAutospacing="0" w:after="0" w:afterAutospacing="0"/>
            </w:pPr>
            <w:r>
              <w:t>Phone:</w:t>
            </w:r>
            <w:r>
              <w:br/>
              <w:t>1400 – 2200 GMT</w:t>
            </w:r>
            <w:r>
              <w:br/>
              <w:t>9am – 5pm at Headquarters</w:t>
            </w:r>
          </w:p>
        </w:tc>
        <w:tc>
          <w:tcPr>
            <w:tcW w:w="5868" w:type="dxa"/>
          </w:tcPr>
          <w:p w14:paraId="2AFE16C4" w14:textId="77777777" w:rsidR="0079296B" w:rsidRDefault="0079296B">
            <w:pPr>
              <w:spacing w:before="0" w:beforeAutospacing="0" w:after="0" w:afterAutospacing="0"/>
            </w:pPr>
            <w:r>
              <w:t>+1-202-473-2222</w:t>
            </w:r>
          </w:p>
        </w:tc>
      </w:tr>
      <w:tr w:rsidR="0079296B" w14:paraId="7F21282D" w14:textId="77777777">
        <w:tc>
          <w:tcPr>
            <w:tcW w:w="2988" w:type="dxa"/>
          </w:tcPr>
          <w:p w14:paraId="7C231A7F" w14:textId="77777777" w:rsidR="0079296B" w:rsidRDefault="0079296B">
            <w:pPr>
              <w:spacing w:before="0" w:beforeAutospacing="0" w:after="0" w:afterAutospacing="0"/>
            </w:pPr>
            <w:r>
              <w:t>Fax:</w:t>
            </w:r>
          </w:p>
        </w:tc>
        <w:tc>
          <w:tcPr>
            <w:tcW w:w="5868" w:type="dxa"/>
          </w:tcPr>
          <w:p w14:paraId="69BC7D55" w14:textId="77777777" w:rsidR="0079296B" w:rsidRDefault="0079296B">
            <w:pPr>
              <w:spacing w:before="0" w:beforeAutospacing="0" w:after="0" w:afterAutospacing="0"/>
            </w:pPr>
            <w:r>
              <w:t>+1-202-522-2150</w:t>
            </w:r>
          </w:p>
        </w:tc>
      </w:tr>
      <w:tr w:rsidR="0079296B" w14:paraId="1011AB3D" w14:textId="77777777">
        <w:tc>
          <w:tcPr>
            <w:tcW w:w="2988" w:type="dxa"/>
          </w:tcPr>
          <w:p w14:paraId="360F41AE" w14:textId="77777777" w:rsidR="0079296B" w:rsidRDefault="0079296B">
            <w:pPr>
              <w:spacing w:before="0" w:beforeAutospacing="0" w:after="0" w:afterAutospacing="0"/>
            </w:pPr>
            <w:r>
              <w:t>Mail:</w:t>
            </w:r>
          </w:p>
        </w:tc>
        <w:tc>
          <w:tcPr>
            <w:tcW w:w="5868" w:type="dxa"/>
          </w:tcPr>
          <w:p w14:paraId="02578974" w14:textId="77777777" w:rsidR="0079296B" w:rsidRDefault="0079296B">
            <w:pPr>
              <w:spacing w:before="0" w:beforeAutospacing="0" w:after="0" w:afterAutospacing="0"/>
            </w:pPr>
            <w:r>
              <w:t xml:space="preserve">HR </w:t>
            </w:r>
            <w:r w:rsidR="0027031D">
              <w:t>Operations</w:t>
            </w:r>
          </w:p>
          <w:p w14:paraId="7340E76D" w14:textId="77777777" w:rsidR="0079296B" w:rsidRDefault="0079296B">
            <w:pPr>
              <w:spacing w:before="0" w:beforeAutospacing="0" w:after="0" w:afterAutospacing="0"/>
            </w:pPr>
            <w:r>
              <w:t xml:space="preserve">World Bank MSN </w:t>
            </w:r>
            <w:r w:rsidR="00EE135D">
              <w:t>G2-202</w:t>
            </w:r>
            <w:r w:rsidR="00EE135D">
              <w:br/>
            </w:r>
            <w:r w:rsidR="00B54FBF" w:rsidRPr="00B54FBF">
              <w:t>P.O. Box 1420</w:t>
            </w:r>
          </w:p>
          <w:p w14:paraId="1BFB3AF6" w14:textId="77777777" w:rsidR="0079296B" w:rsidRDefault="00B54FBF">
            <w:pPr>
              <w:spacing w:before="0" w:beforeAutospacing="0" w:after="0" w:afterAutospacing="0"/>
              <w:rPr>
                <w:lang w:val="es-ES"/>
              </w:rPr>
            </w:pPr>
            <w:proofErr w:type="spellStart"/>
            <w:r w:rsidRPr="00B54FBF">
              <w:rPr>
                <w:lang w:val="es-ES"/>
              </w:rPr>
              <w:t>Landover</w:t>
            </w:r>
            <w:proofErr w:type="spellEnd"/>
            <w:r w:rsidRPr="00B54FBF">
              <w:rPr>
                <w:lang w:val="es-ES"/>
              </w:rPr>
              <w:t>, MD, 20785, USA</w:t>
            </w:r>
          </w:p>
        </w:tc>
      </w:tr>
    </w:tbl>
    <w:p w14:paraId="10E2FBA9" w14:textId="77777777" w:rsidR="0079296B" w:rsidRDefault="0079296B">
      <w:pPr>
        <w:rPr>
          <w:lang w:val="es-ES"/>
        </w:rPr>
      </w:pPr>
    </w:p>
    <w:p w14:paraId="6EDD3438" w14:textId="77777777" w:rsidR="0079296B" w:rsidRDefault="0079296B">
      <w:pPr>
        <w:pStyle w:val="Heading2"/>
      </w:pPr>
      <w:bookmarkStart w:id="668" w:name="_Toc514241199"/>
      <w:bookmarkStart w:id="669" w:name="_Toc514288012"/>
      <w:bookmarkStart w:id="670" w:name="_Toc514312407"/>
      <w:bookmarkStart w:id="671" w:name="_Toc514373646"/>
      <w:bookmarkStart w:id="672" w:name="_Toc514487547"/>
      <w:bookmarkStart w:id="673" w:name="_Toc514489855"/>
      <w:bookmarkStart w:id="674" w:name="_Toc514490304"/>
      <w:bookmarkStart w:id="675" w:name="_Toc514562116"/>
      <w:bookmarkStart w:id="676" w:name="_Toc9618570"/>
      <w:r>
        <w:t>Aetna</w:t>
      </w:r>
      <w:bookmarkEnd w:id="663"/>
      <w:bookmarkEnd w:id="664"/>
      <w:bookmarkEnd w:id="665"/>
      <w:bookmarkEnd w:id="666"/>
      <w:bookmarkEnd w:id="668"/>
      <w:r>
        <w:t xml:space="preserve"> Member Services</w:t>
      </w:r>
      <w:bookmarkEnd w:id="669"/>
      <w:bookmarkEnd w:id="670"/>
      <w:bookmarkEnd w:id="671"/>
      <w:bookmarkEnd w:id="672"/>
      <w:bookmarkEnd w:id="673"/>
      <w:bookmarkEnd w:id="674"/>
      <w:bookmarkEnd w:id="675"/>
      <w:bookmarkEnd w:id="676"/>
    </w:p>
    <w:p w14:paraId="37294088" w14:textId="77777777" w:rsidR="0079296B" w:rsidRDefault="0079296B">
      <w:r>
        <w:t xml:space="preserve">Contact Aetna for questions regarding claims incurred prior to your enrollment effective date with </w:t>
      </w:r>
      <w:r w:rsidR="002C4482">
        <w:t>Cigna</w:t>
      </w:r>
      <w:r>
        <w:t>.  Always include your UPI number in communications with Aetna: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868"/>
      </w:tblGrid>
      <w:tr w:rsidR="0079296B" w14:paraId="252780A4" w14:textId="77777777">
        <w:tc>
          <w:tcPr>
            <w:tcW w:w="2988" w:type="dxa"/>
          </w:tcPr>
          <w:p w14:paraId="449D625E" w14:textId="77777777" w:rsidR="0079296B" w:rsidRDefault="0079296B">
            <w:pPr>
              <w:spacing w:before="0" w:beforeAutospacing="0" w:after="0" w:afterAutospacing="0"/>
            </w:pPr>
            <w:r>
              <w:t>Email:</w:t>
            </w:r>
          </w:p>
        </w:tc>
        <w:tc>
          <w:tcPr>
            <w:tcW w:w="5868" w:type="dxa"/>
          </w:tcPr>
          <w:p w14:paraId="64D39C7E" w14:textId="77777777" w:rsidR="0079296B" w:rsidRDefault="004056D4">
            <w:pPr>
              <w:spacing w:before="0" w:beforeAutospacing="0" w:after="0" w:afterAutospacing="0"/>
            </w:pPr>
            <w:hyperlink r:id="rId22" w:history="1">
              <w:r w:rsidR="0079296B">
                <w:rPr>
                  <w:rStyle w:val="Hyperlink"/>
                </w:rPr>
                <w:t>mclaims@aetna.com</w:t>
              </w:r>
            </w:hyperlink>
          </w:p>
        </w:tc>
      </w:tr>
      <w:tr w:rsidR="0079296B" w14:paraId="68DC8D77" w14:textId="77777777">
        <w:tc>
          <w:tcPr>
            <w:tcW w:w="2988" w:type="dxa"/>
          </w:tcPr>
          <w:p w14:paraId="777ED882" w14:textId="77777777" w:rsidR="0079296B" w:rsidRDefault="0079296B">
            <w:pPr>
              <w:spacing w:before="0" w:beforeAutospacing="0" w:after="0" w:afterAutospacing="0"/>
            </w:pPr>
            <w:r>
              <w:t>Web address:</w:t>
            </w:r>
          </w:p>
        </w:tc>
        <w:tc>
          <w:tcPr>
            <w:tcW w:w="5868" w:type="dxa"/>
          </w:tcPr>
          <w:p w14:paraId="5844F7A0" w14:textId="77777777" w:rsidR="0079296B" w:rsidRDefault="004056D4">
            <w:pPr>
              <w:spacing w:before="0" w:beforeAutospacing="0" w:after="0" w:afterAutospacing="0"/>
            </w:pPr>
            <w:hyperlink r:id="rId23" w:history="1">
              <w:r w:rsidR="0079296B">
                <w:rPr>
                  <w:rStyle w:val="Hyperlink"/>
                </w:rPr>
                <w:t>http://www.aetna.com/</w:t>
              </w:r>
            </w:hyperlink>
          </w:p>
        </w:tc>
      </w:tr>
      <w:tr w:rsidR="0079296B" w14:paraId="1D85FB8F" w14:textId="77777777">
        <w:tc>
          <w:tcPr>
            <w:tcW w:w="2988" w:type="dxa"/>
          </w:tcPr>
          <w:p w14:paraId="702BEDFC" w14:textId="77777777" w:rsidR="0079296B" w:rsidRDefault="0079296B">
            <w:pPr>
              <w:spacing w:before="0" w:beforeAutospacing="0" w:after="0" w:afterAutospacing="0"/>
            </w:pPr>
            <w:r>
              <w:t>Phone:</w:t>
            </w:r>
          </w:p>
          <w:p w14:paraId="6055E1FE" w14:textId="77777777" w:rsidR="0079296B" w:rsidRDefault="0079296B">
            <w:pPr>
              <w:spacing w:before="0" w:beforeAutospacing="0" w:after="0" w:afterAutospacing="0"/>
            </w:pPr>
            <w:r>
              <w:t>1400 – 2200 GMT</w:t>
            </w:r>
          </w:p>
          <w:p w14:paraId="59CBBA71" w14:textId="77777777" w:rsidR="0079296B" w:rsidRDefault="0079296B">
            <w:pPr>
              <w:spacing w:before="0" w:beforeAutospacing="0" w:after="0" w:afterAutospacing="0"/>
            </w:pPr>
            <w:r>
              <w:t>9am – 5pm at Headquarters</w:t>
            </w:r>
          </w:p>
        </w:tc>
        <w:tc>
          <w:tcPr>
            <w:tcW w:w="5868" w:type="dxa"/>
          </w:tcPr>
          <w:p w14:paraId="77BC73D6" w14:textId="77777777" w:rsidR="0079296B" w:rsidRDefault="0079296B">
            <w:pPr>
              <w:spacing w:before="0" w:beforeAutospacing="0" w:after="0" w:afterAutospacing="0"/>
            </w:pPr>
            <w:r>
              <w:t>+1-800-723-8897 (toll-free within the U.S.)</w:t>
            </w:r>
          </w:p>
          <w:p w14:paraId="13B4E370" w14:textId="77777777" w:rsidR="0079296B" w:rsidRDefault="0079296B">
            <w:pPr>
              <w:spacing w:before="0" w:beforeAutospacing="0" w:after="0" w:afterAutospacing="0"/>
            </w:pPr>
            <w:r>
              <w:t>+1-202-473-8666</w:t>
            </w:r>
          </w:p>
        </w:tc>
      </w:tr>
      <w:tr w:rsidR="0079296B" w14:paraId="64C4E221" w14:textId="77777777">
        <w:tc>
          <w:tcPr>
            <w:tcW w:w="2988" w:type="dxa"/>
          </w:tcPr>
          <w:p w14:paraId="38105572" w14:textId="77777777" w:rsidR="0079296B" w:rsidRDefault="0079296B">
            <w:pPr>
              <w:spacing w:before="0" w:beforeAutospacing="0" w:after="0" w:afterAutospacing="0"/>
            </w:pPr>
            <w:r>
              <w:t>Fax:</w:t>
            </w:r>
          </w:p>
        </w:tc>
        <w:tc>
          <w:tcPr>
            <w:tcW w:w="5868" w:type="dxa"/>
          </w:tcPr>
          <w:p w14:paraId="65AACE9A" w14:textId="77777777" w:rsidR="0079296B" w:rsidRDefault="0079296B">
            <w:pPr>
              <w:spacing w:before="0" w:beforeAutospacing="0" w:after="0" w:afterAutospacing="0"/>
            </w:pPr>
            <w:r>
              <w:t>+1-888-351-5004 (toll-free fax within the U.S.)</w:t>
            </w:r>
            <w:r>
              <w:br/>
              <w:t>+1-904-351-5009 (Medical only)</w:t>
            </w:r>
            <w:r>
              <w:br/>
              <w:t>+1-904-351-2995 (Dental only)</w:t>
            </w:r>
          </w:p>
        </w:tc>
      </w:tr>
      <w:tr w:rsidR="0079296B" w14:paraId="41D87CFB" w14:textId="77777777">
        <w:tc>
          <w:tcPr>
            <w:tcW w:w="2988" w:type="dxa"/>
          </w:tcPr>
          <w:p w14:paraId="7023F350" w14:textId="77777777" w:rsidR="0079296B" w:rsidRDefault="0079296B">
            <w:pPr>
              <w:spacing w:before="0" w:beforeAutospacing="0" w:after="0" w:afterAutospacing="0"/>
            </w:pPr>
            <w:r>
              <w:t>Mail:</w:t>
            </w:r>
          </w:p>
        </w:tc>
        <w:tc>
          <w:tcPr>
            <w:tcW w:w="5868" w:type="dxa"/>
          </w:tcPr>
          <w:p w14:paraId="2E3A3069" w14:textId="77777777" w:rsidR="0079296B" w:rsidRDefault="0079296B">
            <w:pPr>
              <w:pStyle w:val="Referencestyle"/>
              <w:spacing w:before="0" w:beforeAutospacing="0" w:after="0" w:afterAutospacing="0"/>
            </w:pPr>
            <w:r>
              <w:t xml:space="preserve">Aetna </w:t>
            </w:r>
            <w:r w:rsidR="0027031D">
              <w:t>Operations</w:t>
            </w:r>
            <w:r>
              <w:br/>
              <w:t>P.O. Box 14199</w:t>
            </w:r>
          </w:p>
          <w:p w14:paraId="095FF8CD" w14:textId="77777777" w:rsidR="0079296B" w:rsidRDefault="0079296B">
            <w:pPr>
              <w:pStyle w:val="Referencestyle"/>
              <w:spacing w:before="0" w:beforeAutospacing="0" w:after="0" w:afterAutospacing="0"/>
            </w:pPr>
            <w:r>
              <w:t>Lexington, KY 40512-4199</w:t>
            </w:r>
          </w:p>
        </w:tc>
      </w:tr>
    </w:tbl>
    <w:p w14:paraId="293F7EFA" w14:textId="77777777" w:rsidR="0079296B" w:rsidRDefault="0079296B">
      <w:bookmarkStart w:id="677" w:name="_Toc514121382"/>
      <w:bookmarkStart w:id="678" w:name="_Toc514121671"/>
      <w:bookmarkStart w:id="679" w:name="_Toc514121748"/>
      <w:bookmarkStart w:id="680" w:name="_Toc514122668"/>
    </w:p>
    <w:p w14:paraId="03F715D7" w14:textId="77777777" w:rsidR="0079296B" w:rsidRDefault="00FD3377">
      <w:pPr>
        <w:pStyle w:val="Heading2"/>
      </w:pPr>
      <w:bookmarkStart w:id="681" w:name="_Toc514288013"/>
      <w:bookmarkStart w:id="682" w:name="_Toc514312408"/>
      <w:bookmarkStart w:id="683" w:name="_Toc514373647"/>
      <w:bookmarkStart w:id="684" w:name="_Toc514487548"/>
      <w:bookmarkStart w:id="685" w:name="_Toc514489856"/>
      <w:bookmarkStart w:id="686" w:name="_Toc514490305"/>
      <w:bookmarkStart w:id="687" w:name="_Toc514562117"/>
      <w:bookmarkStart w:id="688" w:name="_Toc9618571"/>
      <w:bookmarkEnd w:id="677"/>
      <w:bookmarkEnd w:id="678"/>
      <w:bookmarkEnd w:id="679"/>
      <w:bookmarkEnd w:id="680"/>
      <w:r>
        <w:lastRenderedPageBreak/>
        <w:t>CVS/caremark</w:t>
      </w:r>
      <w:r w:rsidR="0079296B">
        <w:t xml:space="preserve"> Customer Service</w:t>
      </w:r>
      <w:bookmarkEnd w:id="681"/>
      <w:bookmarkEnd w:id="682"/>
      <w:bookmarkEnd w:id="683"/>
      <w:bookmarkEnd w:id="684"/>
      <w:bookmarkEnd w:id="685"/>
      <w:bookmarkEnd w:id="686"/>
      <w:bookmarkEnd w:id="687"/>
      <w:bookmarkEnd w:id="688"/>
    </w:p>
    <w:p w14:paraId="390D847D" w14:textId="77777777" w:rsidR="0079296B" w:rsidRDefault="00FD3377">
      <w:r>
        <w:t>CVS/caremark</w:t>
      </w:r>
      <w:r w:rsidR="0079296B">
        <w:t xml:space="preserve"> discounts are applied at the time of purchase with no claims forms.  Replacement </w:t>
      </w:r>
      <w:r>
        <w:t>CVS/caremark</w:t>
      </w:r>
      <w:r w:rsidR="0079296B">
        <w:t xml:space="preserve"> cards may be requested from </w:t>
      </w:r>
      <w:r>
        <w:t>CVS/caremark</w:t>
      </w:r>
      <w:r w:rsidR="0079296B">
        <w:t xml:space="preserve">’s Customer Service.  Customer Service also will help you find the closest </w:t>
      </w:r>
      <w:r>
        <w:t>CVS/caremark</w:t>
      </w:r>
      <w:r w:rsidR="0079296B">
        <w:t xml:space="preserve"> pharmacy.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868"/>
      </w:tblGrid>
      <w:tr w:rsidR="0079296B" w14:paraId="31392B7E" w14:textId="77777777" w:rsidTr="00EF4DB4">
        <w:tc>
          <w:tcPr>
            <w:tcW w:w="2988" w:type="dxa"/>
          </w:tcPr>
          <w:p w14:paraId="56A08FC4" w14:textId="77777777" w:rsidR="0079296B" w:rsidRPr="001A6730" w:rsidRDefault="0079296B" w:rsidP="00EF4DB4">
            <w:pPr>
              <w:spacing w:before="0" w:beforeAutospacing="0" w:after="0" w:afterAutospacing="0"/>
            </w:pPr>
            <w:r w:rsidRPr="001A6730">
              <w:t>Phone:</w:t>
            </w:r>
          </w:p>
          <w:p w14:paraId="68B842AB" w14:textId="77777777" w:rsidR="0079296B" w:rsidRPr="001A6730" w:rsidRDefault="001A6730" w:rsidP="00EF4DB4">
            <w:pPr>
              <w:spacing w:before="0" w:beforeAutospacing="0" w:after="0" w:afterAutospacing="0"/>
            </w:pPr>
            <w:r>
              <w:t>Available 24/7</w:t>
            </w:r>
          </w:p>
        </w:tc>
        <w:tc>
          <w:tcPr>
            <w:tcW w:w="5868" w:type="dxa"/>
          </w:tcPr>
          <w:p w14:paraId="7FE28C9C" w14:textId="77777777" w:rsidR="0079296B" w:rsidRPr="00FB0542" w:rsidRDefault="0079296B" w:rsidP="00EF4DB4">
            <w:pPr>
              <w:spacing w:before="0" w:beforeAutospacing="0" w:after="0" w:afterAutospacing="0"/>
            </w:pPr>
            <w:r w:rsidRPr="00294A98">
              <w:t>+1-</w:t>
            </w:r>
            <w:r w:rsidR="00FB0542" w:rsidRPr="00294A98">
              <w:t xml:space="preserve">844-641-0412 </w:t>
            </w:r>
            <w:r w:rsidRPr="00294A98">
              <w:t>(toll-free within the U.S.)</w:t>
            </w:r>
          </w:p>
        </w:tc>
      </w:tr>
      <w:tr w:rsidR="00EF4DB4" w14:paraId="6070B999" w14:textId="77777777" w:rsidTr="00EF4DB4">
        <w:trPr>
          <w:trHeight w:val="972"/>
        </w:trPr>
        <w:tc>
          <w:tcPr>
            <w:tcW w:w="2988" w:type="dxa"/>
          </w:tcPr>
          <w:p w14:paraId="79464D1F" w14:textId="77777777" w:rsidR="00EF4DB4" w:rsidRDefault="00EF4DB4" w:rsidP="00EF4DB4">
            <w:pPr>
              <w:ind w:left="108"/>
            </w:pPr>
            <w:r>
              <w:t>Email:</w:t>
            </w:r>
          </w:p>
          <w:p w14:paraId="1909A1FD" w14:textId="77777777" w:rsidR="00EF4DB4" w:rsidRDefault="00EF4DB4" w:rsidP="00EF4DB4">
            <w:pPr>
              <w:ind w:left="108"/>
            </w:pPr>
          </w:p>
          <w:p w14:paraId="219826FA" w14:textId="77777777" w:rsidR="00EF4DB4" w:rsidRDefault="00EF4DB4" w:rsidP="00EF4DB4">
            <w:pPr>
              <w:ind w:left="108"/>
            </w:pPr>
          </w:p>
        </w:tc>
        <w:tc>
          <w:tcPr>
            <w:tcW w:w="5868" w:type="dxa"/>
          </w:tcPr>
          <w:p w14:paraId="651C03E8" w14:textId="77777777" w:rsidR="00EF4DB4" w:rsidRDefault="00EF4DB4" w:rsidP="00EF4DB4">
            <w:pPr>
              <w:spacing w:before="0" w:beforeAutospacing="0" w:after="0" w:afterAutospacing="0"/>
            </w:pPr>
            <w:r>
              <w:t xml:space="preserve">www.caremark.com; </w:t>
            </w:r>
            <w:r w:rsidR="00A66464">
              <w:t>R</w:t>
            </w:r>
            <w:r>
              <w:t>egister or log onto your account,</w:t>
            </w:r>
          </w:p>
          <w:p w14:paraId="7ECED93B" w14:textId="77777777" w:rsidR="00EF4DB4" w:rsidRDefault="00EF4DB4" w:rsidP="00A66464">
            <w:pPr>
              <w:spacing w:before="0" w:beforeAutospacing="0" w:after="0" w:afterAutospacing="0"/>
            </w:pPr>
            <w:r>
              <w:t>click on</w:t>
            </w:r>
            <w:r w:rsidR="00522D8F">
              <w:t xml:space="preserve"> the</w:t>
            </w:r>
            <w:r>
              <w:t xml:space="preserve"> "My Account" </w:t>
            </w:r>
            <w:r w:rsidR="00A66464">
              <w:t xml:space="preserve">tab </w:t>
            </w:r>
            <w:r>
              <w:t>then</w:t>
            </w:r>
            <w:r w:rsidR="00522D8F">
              <w:t xml:space="preserve"> the</w:t>
            </w:r>
            <w:r>
              <w:t xml:space="preserve"> "Mailbox: Secure Message</w:t>
            </w:r>
            <w:r w:rsidR="00A66464">
              <w:t xml:space="preserve"> </w:t>
            </w:r>
            <w:r>
              <w:t>Center"</w:t>
            </w:r>
            <w:r w:rsidR="00A66464">
              <w:t xml:space="preserve"> tab</w:t>
            </w:r>
            <w:r w:rsidR="00522D8F">
              <w:t xml:space="preserve"> to send a secure email.</w:t>
            </w:r>
          </w:p>
        </w:tc>
      </w:tr>
    </w:tbl>
    <w:p w14:paraId="5F8D0483" w14:textId="77777777" w:rsidR="0079296B" w:rsidRDefault="0079296B" w:rsidP="00EF4DB4"/>
    <w:sectPr w:rsidR="0079296B">
      <w:pgSz w:w="12240" w:h="15840" w:code="1"/>
      <w:pgMar w:top="720" w:right="1800" w:bottom="1008"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38EC" w14:textId="77777777" w:rsidR="00461818" w:rsidRDefault="00461818">
      <w:r>
        <w:separator/>
      </w:r>
    </w:p>
  </w:endnote>
  <w:endnote w:type="continuationSeparator" w:id="0">
    <w:p w14:paraId="5DD24DD5" w14:textId="77777777" w:rsidR="00461818" w:rsidRDefault="0046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EDDA" w14:textId="77777777" w:rsidR="004E3743" w:rsidRDefault="004E3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67618" w14:textId="77777777" w:rsidR="004E3743" w:rsidRDefault="004E37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CF38" w14:textId="77777777" w:rsidR="004E3743" w:rsidRDefault="004E374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54FBF">
      <w:rPr>
        <w:rStyle w:val="PageNumber"/>
        <w:noProof/>
      </w:rPr>
      <w:t>16</w:t>
    </w:r>
    <w:r>
      <w:rPr>
        <w:rStyle w:val="PageNumber"/>
      </w:rPr>
      <w:fldChar w:fldCharType="end"/>
    </w:r>
    <w:r>
      <w:rPr>
        <w:rStyle w:val="PageNumber"/>
      </w:rPr>
      <w:t xml:space="preserve">  </w:t>
    </w:r>
  </w:p>
  <w:p w14:paraId="4A4D5DB3" w14:textId="77777777" w:rsidR="004E3743" w:rsidRDefault="004E3743">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9234" w14:textId="77777777" w:rsidR="004E3743" w:rsidRDefault="004E3743">
    <w:pPr>
      <w:pStyle w:val="Footer"/>
      <w:jc w:val="right"/>
    </w:pP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9684" w14:textId="77777777" w:rsidR="00461818" w:rsidRDefault="00461818">
      <w:r>
        <w:separator/>
      </w:r>
    </w:p>
  </w:footnote>
  <w:footnote w:type="continuationSeparator" w:id="0">
    <w:p w14:paraId="7EDAE3CB" w14:textId="77777777" w:rsidR="00461818" w:rsidRDefault="00461818">
      <w:r>
        <w:continuationSeparator/>
      </w:r>
    </w:p>
  </w:footnote>
  <w:footnote w:id="1">
    <w:p w14:paraId="5B424DEA" w14:textId="77777777" w:rsidR="004E3743" w:rsidRDefault="004E3743">
      <w:pPr>
        <w:pStyle w:val="FootnoteText"/>
      </w:pPr>
      <w:r>
        <w:rPr>
          <w:rStyle w:val="FootnoteReference"/>
        </w:rPr>
        <w:footnoteRef/>
      </w:r>
      <w:r>
        <w:t xml:space="preserve"> This form is available at </w:t>
      </w:r>
      <w:hyperlink r:id="rId1" w:history="1">
        <w:r w:rsidRPr="003748C9">
          <w:rPr>
            <w:rStyle w:val="Hyperlink"/>
          </w:rPr>
          <w:t>http://hrforms</w:t>
        </w:r>
      </w:hyperlink>
      <w:r>
        <w:t xml:space="preserve"> on the World Bank Group intranet, or </w:t>
      </w:r>
      <w:hyperlink r:id="rId2" w:history="1">
        <w:r w:rsidR="006773DA" w:rsidRPr="00E5560F">
          <w:rPr>
            <w:rStyle w:val="Hyperlink"/>
          </w:rPr>
          <w:t>http://www.worldbank.org/en/about/unit/human-resources</w:t>
        </w:r>
      </w:hyperlink>
      <w:r w:rsidR="006773DA">
        <w:t xml:space="preserve"> </w:t>
      </w:r>
      <w:r>
        <w:t>on the World Bank Group external website.</w:t>
      </w:r>
    </w:p>
  </w:footnote>
  <w:footnote w:id="2">
    <w:p w14:paraId="19B3FD8D" w14:textId="77777777" w:rsidR="004E3743" w:rsidRDefault="004E3743">
      <w:pPr>
        <w:pStyle w:val="FootnoteText"/>
      </w:pPr>
      <w:r>
        <w:rPr>
          <w:rStyle w:val="FootnoteReference"/>
        </w:rPr>
        <w:footnoteRef/>
      </w:r>
      <w:r>
        <w:t xml:space="preserve"> For Retiree Plan 2 only, the special periodontal and oral surgery benefit is 50% after deductible.</w:t>
      </w:r>
    </w:p>
  </w:footnote>
  <w:footnote w:id="3">
    <w:p w14:paraId="2912C126" w14:textId="77777777" w:rsidR="004E3743" w:rsidRDefault="004E3743">
      <w:pPr>
        <w:pStyle w:val="FootnoteText"/>
      </w:pPr>
      <w:r>
        <w:rPr>
          <w:rStyle w:val="FootnoteReference"/>
        </w:rPr>
        <w:footnoteRef/>
      </w:r>
      <w:r>
        <w:t xml:space="preserve"> 50% after deductible for special periodontal and oral surgery services for Retiree Plan 2 participants.</w:t>
      </w:r>
    </w:p>
  </w:footnote>
  <w:footnote w:id="4">
    <w:p w14:paraId="4F8887C0" w14:textId="77777777" w:rsidR="004E3743" w:rsidRDefault="004E3743">
      <w:pPr>
        <w:pStyle w:val="FootnoteText"/>
      </w:pPr>
      <w:r>
        <w:rPr>
          <w:rStyle w:val="FootnoteReference"/>
        </w:rPr>
        <w:footnoteRef/>
      </w:r>
      <w:r>
        <w:t xml:space="preserve"> </w:t>
      </w:r>
      <w:r w:rsidR="00FD3377">
        <w:t>CVS/caremark</w:t>
      </w:r>
      <w:r>
        <w:t xml:space="preserve">’s network of pharmacies is comprehensive and national, including CVS, Target, WalMart, Giant Pharmacy, Safeway Pharmacy, Walgreens and several independent pharmacies.  Contact </w:t>
      </w:r>
      <w:r w:rsidR="00FD3377">
        <w:t>CVS/caremark</w:t>
      </w:r>
      <w:r>
        <w:t xml:space="preserve"> at </w:t>
      </w:r>
      <w:r w:rsidR="00DB41F7" w:rsidRPr="00537CD1">
        <w:t>844</w:t>
      </w:r>
      <w:r w:rsidRPr="00537CD1">
        <w:t>-</w:t>
      </w:r>
      <w:r w:rsidR="00DB41F7" w:rsidRPr="00537CD1">
        <w:t>641</w:t>
      </w:r>
      <w:r w:rsidRPr="00537CD1">
        <w:t>-</w:t>
      </w:r>
      <w:r w:rsidR="00DB41F7" w:rsidRPr="00537CD1">
        <w:t>0412</w:t>
      </w:r>
      <w:r w:rsidRPr="00537CD1">
        <w:t xml:space="preserve"> or </w:t>
      </w:r>
      <w:hyperlink r:id="rId3" w:history="1">
        <w:r w:rsidRPr="00537CD1">
          <w:rPr>
            <w:rStyle w:val="Hyperlink"/>
          </w:rPr>
          <w:t>www.</w:t>
        </w:r>
        <w:r w:rsidR="00DB41F7" w:rsidRPr="00537CD1">
          <w:rPr>
            <w:rStyle w:val="Hyperlink"/>
          </w:rPr>
          <w:t>caremark</w:t>
        </w:r>
        <w:r w:rsidRPr="00537CD1">
          <w:rPr>
            <w:rStyle w:val="Hyperlink"/>
          </w:rPr>
          <w:t>.com</w:t>
        </w:r>
      </w:hyperlink>
      <w:r w:rsidRPr="00537CD1">
        <w:t xml:space="preserve"> to</w:t>
      </w:r>
      <w:r>
        <w:t xml:space="preserve"> obtain information on a participating pharmacy in your location or to review the formulary list.  </w:t>
      </w:r>
    </w:p>
  </w:footnote>
  <w:footnote w:id="5">
    <w:p w14:paraId="43CCAC63" w14:textId="77777777" w:rsidR="004E3743" w:rsidRDefault="004E3743">
      <w:pPr>
        <w:pStyle w:val="FootnoteText"/>
      </w:pPr>
      <w:r>
        <w:rPr>
          <w:rStyle w:val="FootnoteReference"/>
        </w:rPr>
        <w:footnoteRef/>
      </w:r>
      <w:r>
        <w:t xml:space="preserve"> The current annual out-of-pocket limit is US$1,000 per person/US$2,000 per family for the Active Staff MIP, and US$1,2</w:t>
      </w:r>
      <w:r w:rsidR="00AC2F82">
        <w:t>0</w:t>
      </w:r>
      <w:r>
        <w:t>0 per person/US$2,</w:t>
      </w:r>
      <w:r w:rsidR="00DA5D24">
        <w:t>400</w:t>
      </w:r>
      <w:r>
        <w:t xml:space="preserve"> per family for the Retiree MIP.</w:t>
      </w:r>
    </w:p>
  </w:footnote>
  <w:footnote w:id="6">
    <w:p w14:paraId="1DFE316D" w14:textId="77777777" w:rsidR="004E3743" w:rsidRDefault="004E3743">
      <w:pPr>
        <w:pStyle w:val="FootnoteText"/>
      </w:pPr>
      <w:r>
        <w:rPr>
          <w:rStyle w:val="FootnoteReference"/>
        </w:rPr>
        <w:footnoteRef/>
      </w:r>
      <w:r>
        <w:t xml:space="preserve"> For example, assume a retiree in Plan 1 with individual coverage receives care in both the U.S. and Europe.  In a calendar year, she meets her out-of-pocket maximum for medical expenses.  Additional covered medical expenses during the calendar year are reimbursed at 100%.  Assume, though, that in addition to the medical expenses, she had US$329 out-of-pocket expenses purchasing prescription drugs in the U.S. at </w:t>
      </w:r>
      <w:r w:rsidR="00FD3377">
        <w:t>CVS/caremark</w:t>
      </w:r>
      <w:r>
        <w:t xml:space="preserve">-affiliated pharmacies.  There are no claims forms for these purchases.  Once per year, </w:t>
      </w:r>
      <w:r w:rsidR="00FD3377">
        <w:t>CVS/caremark</w:t>
      </w:r>
      <w:r>
        <w:t xml:space="preserve"> and </w:t>
      </w:r>
      <w:r w:rsidR="002C4482">
        <w:t>Cigna</w:t>
      </w:r>
      <w:r>
        <w:t xml:space="preserve"> will c</w:t>
      </w:r>
      <w:r w:rsidR="002C4482">
        <w:t>oordinate claims data.  Cigna</w:t>
      </w:r>
      <w:r>
        <w:t xml:space="preserve"> would, in this example, reimburse the retiree US$329 since she had met the total medical out-of-pocket maximum.</w:t>
      </w:r>
    </w:p>
  </w:footnote>
  <w:footnote w:id="7">
    <w:p w14:paraId="3BBAE5CF" w14:textId="77777777" w:rsidR="004E3743" w:rsidRDefault="004E3743">
      <w:pPr>
        <w:pStyle w:val="FootnoteText"/>
      </w:pPr>
      <w:r>
        <w:rPr>
          <w:rStyle w:val="FootnoteReference"/>
        </w:rPr>
        <w:footnoteRef/>
      </w:r>
      <w:r>
        <w:t xml:space="preserve"> This is the identical process used by the Domestic Administrator.</w:t>
      </w:r>
    </w:p>
  </w:footnote>
  <w:footnote w:id="8">
    <w:p w14:paraId="0C0F0D6B" w14:textId="77777777" w:rsidR="004E3743" w:rsidRDefault="004E3743">
      <w:pPr>
        <w:pStyle w:val="FootnoteText"/>
      </w:pPr>
      <w:r>
        <w:rPr>
          <w:rStyle w:val="FootnoteReference"/>
        </w:rPr>
        <w:footnoteRef/>
      </w:r>
      <w:r>
        <w:t xml:space="preserve"> For care within the U.S., </w:t>
      </w:r>
      <w:r w:rsidR="009B5FBA">
        <w:t>Cigna</w:t>
      </w:r>
      <w:r>
        <w:t xml:space="preserve"> uses the same database, percentile and tolerance levels as Aetna.  “In-network” care through Aetna Open Choice PPO providers is not subject to usual and customary charge limitations. </w:t>
      </w:r>
    </w:p>
  </w:footnote>
  <w:footnote w:id="9">
    <w:p w14:paraId="388285D5" w14:textId="77777777" w:rsidR="004E3743" w:rsidRDefault="004E3743">
      <w:pPr>
        <w:pStyle w:val="FootnoteText"/>
      </w:pPr>
      <w:r>
        <w:rPr>
          <w:rStyle w:val="FootnoteReference"/>
        </w:rPr>
        <w:footnoteRef/>
      </w:r>
      <w:r>
        <w:t xml:space="preserve"> </w:t>
      </w:r>
      <w:r w:rsidR="002425CF">
        <w:t>Cigna</w:t>
      </w:r>
      <w:r>
        <w:t xml:space="preserve"> currently supports EFT in the following currencies (subject to change): Australian Dollar, Thai Baht, Canadian Dollar, Swiss Franc, Euro, British Pound, Norwegian Crown, Philippine Peso, Swedish Crown, US Dollar.  There are no restrictions in making payments in any other currencies, as long as there are no legal restrictions.  If a request is received for EFT in a currency other than those mentioned above, </w:t>
      </w:r>
      <w:r w:rsidR="002425CF">
        <w:t>Cigna</w:t>
      </w:r>
      <w:r>
        <w:t xml:space="preserve"> will attempt such arrangements.  However, this will delay the processing of the claim.</w:t>
      </w:r>
    </w:p>
  </w:footnote>
  <w:footnote w:id="10">
    <w:p w14:paraId="02550C8E" w14:textId="77777777" w:rsidR="004E3743" w:rsidRDefault="004E3743">
      <w:pPr>
        <w:pStyle w:val="FootnoteText"/>
      </w:pPr>
      <w:r>
        <w:rPr>
          <w:rStyle w:val="FootnoteReference"/>
        </w:rPr>
        <w:footnoteRef/>
      </w:r>
      <w:r>
        <w:t xml:space="preserve"> A notable exception is dependent children who marry.  Their MIP eligibility ends on the date of marriage.</w:t>
      </w:r>
    </w:p>
  </w:footnote>
  <w:footnote w:id="11">
    <w:p w14:paraId="13CF64B4" w14:textId="77777777" w:rsidR="004E3743" w:rsidRDefault="004E3743">
      <w:pPr>
        <w:pStyle w:val="FootnoteText"/>
      </w:pPr>
      <w:r>
        <w:rPr>
          <w:rStyle w:val="FootnoteReference"/>
        </w:rPr>
        <w:footnoteRef/>
      </w:r>
      <w:r>
        <w:t xml:space="preserve"> For example, you have Option A, you are assigned to Cairo on an extended assignment away from Headquarters, and you elect the International Administrator.  During your assignment, your son turns age 26, ending dependency.  If he elects MIP Continuation, his coverage would be Option A with </w:t>
      </w:r>
      <w:r w:rsidR="002425CF">
        <w:t>Cigna</w:t>
      </w:r>
      <w:r>
        <w:t>, even if he resides in the U.S. or if your assignment subsequently ends and you return to Headquarters, and resume MIP coverage under the Domestic Administrator.</w:t>
      </w:r>
    </w:p>
  </w:footnote>
  <w:footnote w:id="12">
    <w:p w14:paraId="1656FAF4" w14:textId="07758617" w:rsidR="004E3743" w:rsidRDefault="004E3743">
      <w:pPr>
        <w:pStyle w:val="FootnoteText"/>
      </w:pPr>
      <w:r>
        <w:rPr>
          <w:rStyle w:val="FootnoteReference"/>
        </w:rPr>
        <w:footnoteRef/>
      </w:r>
      <w:r>
        <w:t xml:space="preserve"> Active staff eligibility for the International Administrator is subject to the provisions of Section </w:t>
      </w:r>
      <w:r>
        <w:fldChar w:fldCharType="begin"/>
      </w:r>
      <w:r>
        <w:instrText xml:space="preserve"> REF _Ref514117456 \r \h </w:instrText>
      </w:r>
      <w:r>
        <w:fldChar w:fldCharType="separate"/>
      </w:r>
      <w:r w:rsidR="00DA6C22">
        <w:t>1.1</w:t>
      </w:r>
      <w:r>
        <w:fldChar w:fldCharType="end"/>
      </w:r>
      <w:r>
        <w:t>.</w:t>
      </w:r>
    </w:p>
  </w:footnote>
  <w:footnote w:id="13">
    <w:p w14:paraId="21E6178B" w14:textId="77777777" w:rsidR="004E3743" w:rsidRDefault="004E3743">
      <w:pPr>
        <w:pStyle w:val="FootnoteText"/>
      </w:pPr>
      <w:r>
        <w:rPr>
          <w:rStyle w:val="FootnoteReference"/>
        </w:rPr>
        <w:footnoteRef/>
      </w:r>
      <w:r>
        <w:t xml:space="preserve"> Each December, staff may elect to switch between Option A and Option B (if with the International Administrator), or between Option A, Option B and Option C (if with the Domestic Administrator).</w:t>
      </w:r>
    </w:p>
  </w:footnote>
  <w:footnote w:id="14">
    <w:p w14:paraId="1321EC1E" w14:textId="77777777" w:rsidR="004E3743" w:rsidRDefault="004E3743">
      <w:pPr>
        <w:pStyle w:val="FootnoteText"/>
      </w:pPr>
      <w:r>
        <w:rPr>
          <w:rStyle w:val="FootnoteReference"/>
        </w:rPr>
        <w:footnoteRef/>
      </w:r>
      <w:r>
        <w:t xml:space="preserve"> To access the toll-free number, first dial the international prefix in your country, then dial the toll-free number.  The </w:t>
      </w:r>
      <w:r w:rsidR="002425CF">
        <w:t>Cigna</w:t>
      </w:r>
      <w:r>
        <w:t xml:space="preserve"> toll-free number may be used from the following countries (subject to change): Australia, Austria, Canada, China, Denmark, Finland, France, Germany, Hong Kong, Hungary, Ireland, Israel, Italy, Japan, Netherlands, Norway, Portugal, Singapore, South Korea, Spain, Sweden, United Kingdom and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54E8" w14:textId="77777777" w:rsidR="004E3743" w:rsidRDefault="004E3743">
    <w:pPr>
      <w:pStyle w:val="Header"/>
      <w:tabs>
        <w:tab w:val="clear" w:pos="7200"/>
        <w:tab w:val="left" w:pos="7320"/>
      </w:tabs>
      <w:rPr>
        <w:rFonts w:ascii="Verdana" w:hAnsi="Verdana"/>
        <w:u w:val="single"/>
      </w:rPr>
    </w:pPr>
    <w:r>
      <w:rPr>
        <w:rFonts w:ascii="Verdana" w:hAnsi="Verdana"/>
        <w:u w:val="single"/>
      </w:rPr>
      <w:t>G00081: MIP International Administrator</w:t>
    </w:r>
    <w:r>
      <w:rPr>
        <w:rFonts w:ascii="Verdana" w:hAnsi="Verdana"/>
        <w:u w:val="single"/>
      </w:rPr>
      <w:tab/>
      <w:t>(</w:t>
    </w:r>
    <w:r w:rsidR="00921314">
      <w:rPr>
        <w:rFonts w:ascii="Verdana" w:hAnsi="Verdana"/>
        <w:u w:val="single"/>
      </w:rPr>
      <w:t>0</w:t>
    </w:r>
    <w:r w:rsidR="00BC7F8F">
      <w:rPr>
        <w:rFonts w:ascii="Verdana" w:hAnsi="Verdana"/>
        <w:u w:val="single"/>
      </w:rPr>
      <w:t>5</w:t>
    </w:r>
    <w:r>
      <w:rPr>
        <w:rFonts w:ascii="Verdana" w:hAnsi="Verdana"/>
        <w:u w:val="single"/>
      </w:rPr>
      <w:t>/</w:t>
    </w:r>
    <w:r w:rsidR="00BC7F8F">
      <w:rPr>
        <w:rFonts w:ascii="Verdana" w:hAnsi="Verdana"/>
        <w:u w:val="single"/>
      </w:rPr>
      <w:t>22</w:t>
    </w:r>
    <w:r>
      <w:rPr>
        <w:rFonts w:ascii="Verdana" w:hAnsi="Verdana"/>
        <w:u w:val="single"/>
      </w:rPr>
      <w:t>/</w:t>
    </w:r>
    <w:r w:rsidR="00C27EE7">
      <w:rPr>
        <w:rFonts w:ascii="Verdana" w:hAnsi="Verdana"/>
        <w:u w:val="single"/>
      </w:rPr>
      <w:t>1</w:t>
    </w:r>
    <w:r w:rsidR="00BC7F8F">
      <w:rPr>
        <w:rFonts w:ascii="Verdana" w:hAnsi="Verdana"/>
        <w:u w:val="single"/>
      </w:rPr>
      <w:t>9</w:t>
    </w:r>
    <w:r>
      <w:rPr>
        <w:rFonts w:ascii="Verdana" w:hAnsi="Verdana"/>
        <w:u w:val="single"/>
      </w:rPr>
      <w:t>)</w:t>
    </w:r>
    <w:r>
      <w:rPr>
        <w:rFonts w:ascii="Verdana" w:hAnsi="Verdana"/>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4259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6420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D0CC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6235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0214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48DC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6EEF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B6C2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F2BF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DE4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E3C52"/>
    <w:multiLevelType w:val="hybridMultilevel"/>
    <w:tmpl w:val="C7D823D6"/>
    <w:lvl w:ilvl="0" w:tplc="4704C384">
      <w:start w:val="1"/>
      <w:numFmt w:val="bullet"/>
      <w:lvlText w:val=""/>
      <w:lvlJc w:val="left"/>
      <w:pPr>
        <w:tabs>
          <w:tab w:val="num" w:pos="720"/>
        </w:tabs>
        <w:ind w:left="720" w:hanging="360"/>
      </w:pPr>
      <w:rPr>
        <w:rFonts w:ascii="Symbol" w:hAnsi="Symbol" w:hint="default"/>
      </w:rPr>
    </w:lvl>
    <w:lvl w:ilvl="1" w:tplc="238ABE0C" w:tentative="1">
      <w:start w:val="1"/>
      <w:numFmt w:val="bullet"/>
      <w:lvlText w:val="o"/>
      <w:lvlJc w:val="left"/>
      <w:pPr>
        <w:tabs>
          <w:tab w:val="num" w:pos="1440"/>
        </w:tabs>
        <w:ind w:left="1440" w:hanging="360"/>
      </w:pPr>
      <w:rPr>
        <w:rFonts w:ascii="Courier New" w:hAnsi="Courier New" w:hint="default"/>
      </w:rPr>
    </w:lvl>
    <w:lvl w:ilvl="2" w:tplc="5D4A362A" w:tentative="1">
      <w:start w:val="1"/>
      <w:numFmt w:val="bullet"/>
      <w:lvlText w:val=""/>
      <w:lvlJc w:val="left"/>
      <w:pPr>
        <w:tabs>
          <w:tab w:val="num" w:pos="2160"/>
        </w:tabs>
        <w:ind w:left="2160" w:hanging="360"/>
      </w:pPr>
      <w:rPr>
        <w:rFonts w:ascii="Wingdings" w:hAnsi="Wingdings" w:hint="default"/>
      </w:rPr>
    </w:lvl>
    <w:lvl w:ilvl="3" w:tplc="3E909FE6" w:tentative="1">
      <w:start w:val="1"/>
      <w:numFmt w:val="bullet"/>
      <w:lvlText w:val=""/>
      <w:lvlJc w:val="left"/>
      <w:pPr>
        <w:tabs>
          <w:tab w:val="num" w:pos="2880"/>
        </w:tabs>
        <w:ind w:left="2880" w:hanging="360"/>
      </w:pPr>
      <w:rPr>
        <w:rFonts w:ascii="Symbol" w:hAnsi="Symbol" w:hint="default"/>
      </w:rPr>
    </w:lvl>
    <w:lvl w:ilvl="4" w:tplc="D6423BE0" w:tentative="1">
      <w:start w:val="1"/>
      <w:numFmt w:val="bullet"/>
      <w:lvlText w:val="o"/>
      <w:lvlJc w:val="left"/>
      <w:pPr>
        <w:tabs>
          <w:tab w:val="num" w:pos="3600"/>
        </w:tabs>
        <w:ind w:left="3600" w:hanging="360"/>
      </w:pPr>
      <w:rPr>
        <w:rFonts w:ascii="Courier New" w:hAnsi="Courier New" w:hint="default"/>
      </w:rPr>
    </w:lvl>
    <w:lvl w:ilvl="5" w:tplc="6A2A3054" w:tentative="1">
      <w:start w:val="1"/>
      <w:numFmt w:val="bullet"/>
      <w:lvlText w:val=""/>
      <w:lvlJc w:val="left"/>
      <w:pPr>
        <w:tabs>
          <w:tab w:val="num" w:pos="4320"/>
        </w:tabs>
        <w:ind w:left="4320" w:hanging="360"/>
      </w:pPr>
      <w:rPr>
        <w:rFonts w:ascii="Wingdings" w:hAnsi="Wingdings" w:hint="default"/>
      </w:rPr>
    </w:lvl>
    <w:lvl w:ilvl="6" w:tplc="82E64D84" w:tentative="1">
      <w:start w:val="1"/>
      <w:numFmt w:val="bullet"/>
      <w:lvlText w:val=""/>
      <w:lvlJc w:val="left"/>
      <w:pPr>
        <w:tabs>
          <w:tab w:val="num" w:pos="5040"/>
        </w:tabs>
        <w:ind w:left="5040" w:hanging="360"/>
      </w:pPr>
      <w:rPr>
        <w:rFonts w:ascii="Symbol" w:hAnsi="Symbol" w:hint="default"/>
      </w:rPr>
    </w:lvl>
    <w:lvl w:ilvl="7" w:tplc="1EC2807C" w:tentative="1">
      <w:start w:val="1"/>
      <w:numFmt w:val="bullet"/>
      <w:lvlText w:val="o"/>
      <w:lvlJc w:val="left"/>
      <w:pPr>
        <w:tabs>
          <w:tab w:val="num" w:pos="5760"/>
        </w:tabs>
        <w:ind w:left="5760" w:hanging="360"/>
      </w:pPr>
      <w:rPr>
        <w:rFonts w:ascii="Courier New" w:hAnsi="Courier New" w:hint="default"/>
      </w:rPr>
    </w:lvl>
    <w:lvl w:ilvl="8" w:tplc="ABF8B6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957C5"/>
    <w:multiLevelType w:val="hybridMultilevel"/>
    <w:tmpl w:val="F3B2A9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454A99"/>
    <w:multiLevelType w:val="hybridMultilevel"/>
    <w:tmpl w:val="F3B2A92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439E6"/>
    <w:multiLevelType w:val="multilevel"/>
    <w:tmpl w:val="91B2E78E"/>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2B5844"/>
    <w:multiLevelType w:val="hybridMultilevel"/>
    <w:tmpl w:val="DE6A3996"/>
    <w:lvl w:ilvl="0" w:tplc="19E4A67E">
      <w:start w:val="1"/>
      <w:numFmt w:val="bullet"/>
      <w:lvlText w:val=""/>
      <w:lvlJc w:val="left"/>
      <w:pPr>
        <w:tabs>
          <w:tab w:val="num" w:pos="720"/>
        </w:tabs>
        <w:ind w:left="720" w:hanging="360"/>
      </w:pPr>
      <w:rPr>
        <w:rFonts w:ascii="Symbol" w:hAnsi="Symbol" w:hint="default"/>
      </w:rPr>
    </w:lvl>
    <w:lvl w:ilvl="1" w:tplc="BD5AE0BE" w:tentative="1">
      <w:start w:val="1"/>
      <w:numFmt w:val="bullet"/>
      <w:lvlText w:val="o"/>
      <w:lvlJc w:val="left"/>
      <w:pPr>
        <w:tabs>
          <w:tab w:val="num" w:pos="1440"/>
        </w:tabs>
        <w:ind w:left="1440" w:hanging="360"/>
      </w:pPr>
      <w:rPr>
        <w:rFonts w:ascii="Courier New" w:hAnsi="Courier New" w:hint="default"/>
      </w:rPr>
    </w:lvl>
    <w:lvl w:ilvl="2" w:tplc="8DE63CDC" w:tentative="1">
      <w:start w:val="1"/>
      <w:numFmt w:val="bullet"/>
      <w:lvlText w:val=""/>
      <w:lvlJc w:val="left"/>
      <w:pPr>
        <w:tabs>
          <w:tab w:val="num" w:pos="2160"/>
        </w:tabs>
        <w:ind w:left="2160" w:hanging="360"/>
      </w:pPr>
      <w:rPr>
        <w:rFonts w:ascii="Wingdings" w:hAnsi="Wingdings" w:hint="default"/>
      </w:rPr>
    </w:lvl>
    <w:lvl w:ilvl="3" w:tplc="2F902C22" w:tentative="1">
      <w:start w:val="1"/>
      <w:numFmt w:val="bullet"/>
      <w:lvlText w:val=""/>
      <w:lvlJc w:val="left"/>
      <w:pPr>
        <w:tabs>
          <w:tab w:val="num" w:pos="2880"/>
        </w:tabs>
        <w:ind w:left="2880" w:hanging="360"/>
      </w:pPr>
      <w:rPr>
        <w:rFonts w:ascii="Symbol" w:hAnsi="Symbol" w:hint="default"/>
      </w:rPr>
    </w:lvl>
    <w:lvl w:ilvl="4" w:tplc="6E9826CC" w:tentative="1">
      <w:start w:val="1"/>
      <w:numFmt w:val="bullet"/>
      <w:lvlText w:val="o"/>
      <w:lvlJc w:val="left"/>
      <w:pPr>
        <w:tabs>
          <w:tab w:val="num" w:pos="3600"/>
        </w:tabs>
        <w:ind w:left="3600" w:hanging="360"/>
      </w:pPr>
      <w:rPr>
        <w:rFonts w:ascii="Courier New" w:hAnsi="Courier New" w:hint="default"/>
      </w:rPr>
    </w:lvl>
    <w:lvl w:ilvl="5" w:tplc="C630D7FA" w:tentative="1">
      <w:start w:val="1"/>
      <w:numFmt w:val="bullet"/>
      <w:lvlText w:val=""/>
      <w:lvlJc w:val="left"/>
      <w:pPr>
        <w:tabs>
          <w:tab w:val="num" w:pos="4320"/>
        </w:tabs>
        <w:ind w:left="4320" w:hanging="360"/>
      </w:pPr>
      <w:rPr>
        <w:rFonts w:ascii="Wingdings" w:hAnsi="Wingdings" w:hint="default"/>
      </w:rPr>
    </w:lvl>
    <w:lvl w:ilvl="6" w:tplc="4B96372E" w:tentative="1">
      <w:start w:val="1"/>
      <w:numFmt w:val="bullet"/>
      <w:lvlText w:val=""/>
      <w:lvlJc w:val="left"/>
      <w:pPr>
        <w:tabs>
          <w:tab w:val="num" w:pos="5040"/>
        </w:tabs>
        <w:ind w:left="5040" w:hanging="360"/>
      </w:pPr>
      <w:rPr>
        <w:rFonts w:ascii="Symbol" w:hAnsi="Symbol" w:hint="default"/>
      </w:rPr>
    </w:lvl>
    <w:lvl w:ilvl="7" w:tplc="5D143530" w:tentative="1">
      <w:start w:val="1"/>
      <w:numFmt w:val="bullet"/>
      <w:lvlText w:val="o"/>
      <w:lvlJc w:val="left"/>
      <w:pPr>
        <w:tabs>
          <w:tab w:val="num" w:pos="5760"/>
        </w:tabs>
        <w:ind w:left="5760" w:hanging="360"/>
      </w:pPr>
      <w:rPr>
        <w:rFonts w:ascii="Courier New" w:hAnsi="Courier New" w:hint="default"/>
      </w:rPr>
    </w:lvl>
    <w:lvl w:ilvl="8" w:tplc="CD000D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C2E34"/>
    <w:multiLevelType w:val="hybridMultilevel"/>
    <w:tmpl w:val="F3B2A92A"/>
    <w:lvl w:ilvl="0" w:tplc="86248A3E">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543C81"/>
    <w:multiLevelType w:val="hybridMultilevel"/>
    <w:tmpl w:val="4348B7BC"/>
    <w:lvl w:ilvl="0" w:tplc="0A60898C">
      <w:start w:val="1"/>
      <w:numFmt w:val="decimal"/>
      <w:lvlText w:val="%1."/>
      <w:lvlJc w:val="left"/>
      <w:pPr>
        <w:tabs>
          <w:tab w:val="num" w:pos="720"/>
        </w:tabs>
        <w:ind w:left="720" w:hanging="360"/>
      </w:pPr>
    </w:lvl>
    <w:lvl w:ilvl="1" w:tplc="5C10665A">
      <w:start w:val="1"/>
      <w:numFmt w:val="bullet"/>
      <w:lvlText w:val=""/>
      <w:lvlJc w:val="left"/>
      <w:pPr>
        <w:tabs>
          <w:tab w:val="num" w:pos="1440"/>
        </w:tabs>
        <w:ind w:left="1440" w:hanging="360"/>
      </w:pPr>
      <w:rPr>
        <w:rFonts w:ascii="Symbol" w:hAnsi="Symbol" w:hint="default"/>
      </w:rPr>
    </w:lvl>
    <w:lvl w:ilvl="2" w:tplc="26E0BAB0" w:tentative="1">
      <w:start w:val="1"/>
      <w:numFmt w:val="lowerRoman"/>
      <w:lvlText w:val="%3."/>
      <w:lvlJc w:val="right"/>
      <w:pPr>
        <w:tabs>
          <w:tab w:val="num" w:pos="2160"/>
        </w:tabs>
        <w:ind w:left="2160" w:hanging="180"/>
      </w:pPr>
    </w:lvl>
    <w:lvl w:ilvl="3" w:tplc="9EA21EBC" w:tentative="1">
      <w:start w:val="1"/>
      <w:numFmt w:val="decimal"/>
      <w:lvlText w:val="%4."/>
      <w:lvlJc w:val="left"/>
      <w:pPr>
        <w:tabs>
          <w:tab w:val="num" w:pos="2880"/>
        </w:tabs>
        <w:ind w:left="2880" w:hanging="360"/>
      </w:pPr>
    </w:lvl>
    <w:lvl w:ilvl="4" w:tplc="97BA3E50" w:tentative="1">
      <w:start w:val="1"/>
      <w:numFmt w:val="lowerLetter"/>
      <w:lvlText w:val="%5."/>
      <w:lvlJc w:val="left"/>
      <w:pPr>
        <w:tabs>
          <w:tab w:val="num" w:pos="3600"/>
        </w:tabs>
        <w:ind w:left="3600" w:hanging="360"/>
      </w:pPr>
    </w:lvl>
    <w:lvl w:ilvl="5" w:tplc="17E4F890" w:tentative="1">
      <w:start w:val="1"/>
      <w:numFmt w:val="lowerRoman"/>
      <w:lvlText w:val="%6."/>
      <w:lvlJc w:val="right"/>
      <w:pPr>
        <w:tabs>
          <w:tab w:val="num" w:pos="4320"/>
        </w:tabs>
        <w:ind w:left="4320" w:hanging="180"/>
      </w:pPr>
    </w:lvl>
    <w:lvl w:ilvl="6" w:tplc="502AC69E" w:tentative="1">
      <w:start w:val="1"/>
      <w:numFmt w:val="decimal"/>
      <w:lvlText w:val="%7."/>
      <w:lvlJc w:val="left"/>
      <w:pPr>
        <w:tabs>
          <w:tab w:val="num" w:pos="5040"/>
        </w:tabs>
        <w:ind w:left="5040" w:hanging="360"/>
      </w:pPr>
    </w:lvl>
    <w:lvl w:ilvl="7" w:tplc="3204395A" w:tentative="1">
      <w:start w:val="1"/>
      <w:numFmt w:val="lowerLetter"/>
      <w:lvlText w:val="%8."/>
      <w:lvlJc w:val="left"/>
      <w:pPr>
        <w:tabs>
          <w:tab w:val="num" w:pos="5760"/>
        </w:tabs>
        <w:ind w:left="5760" w:hanging="360"/>
      </w:pPr>
    </w:lvl>
    <w:lvl w:ilvl="8" w:tplc="8326B9F4" w:tentative="1">
      <w:start w:val="1"/>
      <w:numFmt w:val="lowerRoman"/>
      <w:lvlText w:val="%9."/>
      <w:lvlJc w:val="right"/>
      <w:pPr>
        <w:tabs>
          <w:tab w:val="num" w:pos="6480"/>
        </w:tabs>
        <w:ind w:left="6480" w:hanging="180"/>
      </w:pPr>
    </w:lvl>
  </w:abstractNum>
  <w:abstractNum w:abstractNumId="17" w15:restartNumberingAfterBreak="0">
    <w:nsid w:val="73C11663"/>
    <w:multiLevelType w:val="multilevel"/>
    <w:tmpl w:val="4D68E0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4094F0D"/>
    <w:multiLevelType w:val="multilevel"/>
    <w:tmpl w:val="D9C611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7473A5D"/>
    <w:multiLevelType w:val="multilevel"/>
    <w:tmpl w:val="08108EF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87A3428"/>
    <w:multiLevelType w:val="hybridMultilevel"/>
    <w:tmpl w:val="4848850E"/>
    <w:lvl w:ilvl="0" w:tplc="D9BA61A0">
      <w:start w:val="1"/>
      <w:numFmt w:val="bullet"/>
      <w:lvlText w:val=""/>
      <w:lvlJc w:val="left"/>
      <w:pPr>
        <w:tabs>
          <w:tab w:val="num" w:pos="720"/>
        </w:tabs>
        <w:ind w:left="720" w:hanging="360"/>
      </w:pPr>
      <w:rPr>
        <w:rFonts w:ascii="Symbol" w:hAnsi="Symbol" w:hint="default"/>
      </w:rPr>
    </w:lvl>
    <w:lvl w:ilvl="1" w:tplc="9294E254" w:tentative="1">
      <w:start w:val="1"/>
      <w:numFmt w:val="bullet"/>
      <w:lvlText w:val="o"/>
      <w:lvlJc w:val="left"/>
      <w:pPr>
        <w:tabs>
          <w:tab w:val="num" w:pos="1440"/>
        </w:tabs>
        <w:ind w:left="1440" w:hanging="360"/>
      </w:pPr>
      <w:rPr>
        <w:rFonts w:ascii="Courier New" w:hAnsi="Courier New" w:hint="default"/>
      </w:rPr>
    </w:lvl>
    <w:lvl w:ilvl="2" w:tplc="473AF764" w:tentative="1">
      <w:start w:val="1"/>
      <w:numFmt w:val="bullet"/>
      <w:lvlText w:val=""/>
      <w:lvlJc w:val="left"/>
      <w:pPr>
        <w:tabs>
          <w:tab w:val="num" w:pos="2160"/>
        </w:tabs>
        <w:ind w:left="2160" w:hanging="360"/>
      </w:pPr>
      <w:rPr>
        <w:rFonts w:ascii="Wingdings" w:hAnsi="Wingdings" w:hint="default"/>
      </w:rPr>
    </w:lvl>
    <w:lvl w:ilvl="3" w:tplc="58AC11E2" w:tentative="1">
      <w:start w:val="1"/>
      <w:numFmt w:val="bullet"/>
      <w:lvlText w:val=""/>
      <w:lvlJc w:val="left"/>
      <w:pPr>
        <w:tabs>
          <w:tab w:val="num" w:pos="2880"/>
        </w:tabs>
        <w:ind w:left="2880" w:hanging="360"/>
      </w:pPr>
      <w:rPr>
        <w:rFonts w:ascii="Symbol" w:hAnsi="Symbol" w:hint="default"/>
      </w:rPr>
    </w:lvl>
    <w:lvl w:ilvl="4" w:tplc="5B6A5118" w:tentative="1">
      <w:start w:val="1"/>
      <w:numFmt w:val="bullet"/>
      <w:lvlText w:val="o"/>
      <w:lvlJc w:val="left"/>
      <w:pPr>
        <w:tabs>
          <w:tab w:val="num" w:pos="3600"/>
        </w:tabs>
        <w:ind w:left="3600" w:hanging="360"/>
      </w:pPr>
      <w:rPr>
        <w:rFonts w:ascii="Courier New" w:hAnsi="Courier New" w:hint="default"/>
      </w:rPr>
    </w:lvl>
    <w:lvl w:ilvl="5" w:tplc="691AA4F8" w:tentative="1">
      <w:start w:val="1"/>
      <w:numFmt w:val="bullet"/>
      <w:lvlText w:val=""/>
      <w:lvlJc w:val="left"/>
      <w:pPr>
        <w:tabs>
          <w:tab w:val="num" w:pos="4320"/>
        </w:tabs>
        <w:ind w:left="4320" w:hanging="360"/>
      </w:pPr>
      <w:rPr>
        <w:rFonts w:ascii="Wingdings" w:hAnsi="Wingdings" w:hint="default"/>
      </w:rPr>
    </w:lvl>
    <w:lvl w:ilvl="6" w:tplc="362A53E8" w:tentative="1">
      <w:start w:val="1"/>
      <w:numFmt w:val="bullet"/>
      <w:lvlText w:val=""/>
      <w:lvlJc w:val="left"/>
      <w:pPr>
        <w:tabs>
          <w:tab w:val="num" w:pos="5040"/>
        </w:tabs>
        <w:ind w:left="5040" w:hanging="360"/>
      </w:pPr>
      <w:rPr>
        <w:rFonts w:ascii="Symbol" w:hAnsi="Symbol" w:hint="default"/>
      </w:rPr>
    </w:lvl>
    <w:lvl w:ilvl="7" w:tplc="8160A886" w:tentative="1">
      <w:start w:val="1"/>
      <w:numFmt w:val="bullet"/>
      <w:lvlText w:val="o"/>
      <w:lvlJc w:val="left"/>
      <w:pPr>
        <w:tabs>
          <w:tab w:val="num" w:pos="5760"/>
        </w:tabs>
        <w:ind w:left="5760" w:hanging="360"/>
      </w:pPr>
      <w:rPr>
        <w:rFonts w:ascii="Courier New" w:hAnsi="Courier New" w:hint="default"/>
      </w:rPr>
    </w:lvl>
    <w:lvl w:ilvl="8" w:tplc="A30A68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30505"/>
    <w:multiLevelType w:val="hybridMultilevel"/>
    <w:tmpl w:val="03C4B842"/>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8"/>
  </w:num>
  <w:num w:numId="4">
    <w:abstractNumId w:val="10"/>
  </w:num>
  <w:num w:numId="5">
    <w:abstractNumId w:val="14"/>
  </w:num>
  <w:num w:numId="6">
    <w:abstractNumId w:val="19"/>
  </w:num>
  <w:num w:numId="7">
    <w:abstractNumId w:val="11"/>
  </w:num>
  <w:num w:numId="8">
    <w:abstractNumId w:val="12"/>
  </w:num>
  <w:num w:numId="9">
    <w:abstractNumId w:val="13"/>
  </w:num>
  <w:num w:numId="10">
    <w:abstractNumId w:val="17"/>
  </w:num>
  <w:num w:numId="11">
    <w:abstractNumId w:val="17"/>
  </w:num>
  <w:num w:numId="12">
    <w:abstractNumId w:val="13"/>
  </w:num>
  <w:num w:numId="13">
    <w:abstractNumId w:val="13"/>
  </w:num>
  <w:num w:numId="14">
    <w:abstractNumId w:val="17"/>
  </w:num>
  <w:num w:numId="15">
    <w:abstractNumId w:val="13"/>
  </w:num>
  <w:num w:numId="16">
    <w:abstractNumId w:val="17"/>
  </w:num>
  <w:num w:numId="17">
    <w:abstractNumId w:val="13"/>
  </w:num>
  <w:num w:numId="18">
    <w:abstractNumId w:val="17"/>
  </w:num>
  <w:num w:numId="19">
    <w:abstractNumId w:val="13"/>
  </w:num>
  <w:num w:numId="20">
    <w:abstractNumId w:val="17"/>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2E"/>
    <w:rsid w:val="00041BD3"/>
    <w:rsid w:val="000729C0"/>
    <w:rsid w:val="000A54FD"/>
    <w:rsid w:val="000C64A3"/>
    <w:rsid w:val="000C6AAC"/>
    <w:rsid w:val="000D2D31"/>
    <w:rsid w:val="00107058"/>
    <w:rsid w:val="0013210E"/>
    <w:rsid w:val="00170D75"/>
    <w:rsid w:val="00181471"/>
    <w:rsid w:val="00184CC9"/>
    <w:rsid w:val="001A6730"/>
    <w:rsid w:val="001C624B"/>
    <w:rsid w:val="001F4FD0"/>
    <w:rsid w:val="002122EF"/>
    <w:rsid w:val="00242360"/>
    <w:rsid w:val="002425CF"/>
    <w:rsid w:val="0027031D"/>
    <w:rsid w:val="00280449"/>
    <w:rsid w:val="00294A98"/>
    <w:rsid w:val="002A6753"/>
    <w:rsid w:val="002C4482"/>
    <w:rsid w:val="002D0064"/>
    <w:rsid w:val="002D3511"/>
    <w:rsid w:val="002E0A50"/>
    <w:rsid w:val="002E222A"/>
    <w:rsid w:val="002E2E4B"/>
    <w:rsid w:val="00322616"/>
    <w:rsid w:val="0035584B"/>
    <w:rsid w:val="003559F9"/>
    <w:rsid w:val="003612E4"/>
    <w:rsid w:val="003652F4"/>
    <w:rsid w:val="00372450"/>
    <w:rsid w:val="00384037"/>
    <w:rsid w:val="003A109D"/>
    <w:rsid w:val="003E602C"/>
    <w:rsid w:val="003F42CB"/>
    <w:rsid w:val="00402A61"/>
    <w:rsid w:val="00446AFD"/>
    <w:rsid w:val="00461818"/>
    <w:rsid w:val="004E3743"/>
    <w:rsid w:val="00522D8F"/>
    <w:rsid w:val="00537CD1"/>
    <w:rsid w:val="00542076"/>
    <w:rsid w:val="00587F38"/>
    <w:rsid w:val="00597334"/>
    <w:rsid w:val="00601DB1"/>
    <w:rsid w:val="006311C5"/>
    <w:rsid w:val="0065615C"/>
    <w:rsid w:val="006773DA"/>
    <w:rsid w:val="006B5ABD"/>
    <w:rsid w:val="006C6DF2"/>
    <w:rsid w:val="006C74C5"/>
    <w:rsid w:val="006F6A5F"/>
    <w:rsid w:val="00703103"/>
    <w:rsid w:val="00753050"/>
    <w:rsid w:val="0079296B"/>
    <w:rsid w:val="00797234"/>
    <w:rsid w:val="007B20B7"/>
    <w:rsid w:val="007B552E"/>
    <w:rsid w:val="00805EC6"/>
    <w:rsid w:val="008600A9"/>
    <w:rsid w:val="008C5A29"/>
    <w:rsid w:val="008E23DA"/>
    <w:rsid w:val="00907178"/>
    <w:rsid w:val="00921314"/>
    <w:rsid w:val="0096347C"/>
    <w:rsid w:val="009824D7"/>
    <w:rsid w:val="009B5FBA"/>
    <w:rsid w:val="009B7ACE"/>
    <w:rsid w:val="00A14EF7"/>
    <w:rsid w:val="00A340D4"/>
    <w:rsid w:val="00A66464"/>
    <w:rsid w:val="00AA3573"/>
    <w:rsid w:val="00AB6C60"/>
    <w:rsid w:val="00AC2F82"/>
    <w:rsid w:val="00AC350D"/>
    <w:rsid w:val="00AE5063"/>
    <w:rsid w:val="00B54FBF"/>
    <w:rsid w:val="00B75104"/>
    <w:rsid w:val="00BC7F8F"/>
    <w:rsid w:val="00C01931"/>
    <w:rsid w:val="00C27EE7"/>
    <w:rsid w:val="00C45AE6"/>
    <w:rsid w:val="00C55DEA"/>
    <w:rsid w:val="00C67872"/>
    <w:rsid w:val="00C808A9"/>
    <w:rsid w:val="00C8443E"/>
    <w:rsid w:val="00CD0EE3"/>
    <w:rsid w:val="00CE2C7D"/>
    <w:rsid w:val="00CF4FF1"/>
    <w:rsid w:val="00D2271B"/>
    <w:rsid w:val="00D26AFE"/>
    <w:rsid w:val="00DA5D24"/>
    <w:rsid w:val="00DA6C22"/>
    <w:rsid w:val="00DB41F7"/>
    <w:rsid w:val="00E262FA"/>
    <w:rsid w:val="00E56D5D"/>
    <w:rsid w:val="00E836AA"/>
    <w:rsid w:val="00EA23EA"/>
    <w:rsid w:val="00EE135D"/>
    <w:rsid w:val="00EF4C96"/>
    <w:rsid w:val="00EF4DB4"/>
    <w:rsid w:val="00F25648"/>
    <w:rsid w:val="00F41AD8"/>
    <w:rsid w:val="00F85DC1"/>
    <w:rsid w:val="00FB0542"/>
    <w:rsid w:val="00FB0FF7"/>
    <w:rsid w:val="00FD13B5"/>
    <w:rsid w:val="00FD3377"/>
    <w:rsid w:val="00FE484A"/>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CD20DF"/>
  <w15:chartTrackingRefBased/>
  <w15:docId w15:val="{DF6C21D2-4D0D-4916-B5B0-0E22ED3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00" w:beforeAutospacing="1" w:after="100" w:afterAutospacing="1"/>
    </w:pPr>
    <w:rPr>
      <w:sz w:val="24"/>
    </w:rPr>
  </w:style>
  <w:style w:type="paragraph" w:styleId="Heading1">
    <w:name w:val="heading 1"/>
    <w:basedOn w:val="Normal"/>
    <w:next w:val="Normal"/>
    <w:qFormat/>
    <w:pPr>
      <w:keepNext/>
      <w:keepLines/>
      <w:numPr>
        <w:numId w:val="10"/>
      </w:numPr>
      <w:tabs>
        <w:tab w:val="clear" w:pos="432"/>
        <w:tab w:val="left" w:pos="720"/>
      </w:tabs>
      <w:spacing w:before="360" w:beforeAutospacing="0" w:after="120" w:afterAutospacing="0"/>
      <w:ind w:left="720" w:hanging="720"/>
      <w:outlineLvl w:val="0"/>
    </w:pPr>
    <w:rPr>
      <w:rFonts w:ascii="Arial" w:hAnsi="Arial" w:cs="Arial"/>
      <w:b/>
      <w:bCs/>
      <w:caps/>
      <w:kern w:val="32"/>
      <w:sz w:val="32"/>
      <w:szCs w:val="32"/>
    </w:rPr>
  </w:style>
  <w:style w:type="paragraph" w:styleId="Heading2">
    <w:name w:val="heading 2"/>
    <w:basedOn w:val="Normal"/>
    <w:next w:val="Normal"/>
    <w:qFormat/>
    <w:pPr>
      <w:keepNext/>
      <w:keepLines/>
      <w:numPr>
        <w:ilvl w:val="1"/>
        <w:numId w:val="10"/>
      </w:numPr>
      <w:tabs>
        <w:tab w:val="clear" w:pos="576"/>
        <w:tab w:val="left" w:pos="864"/>
      </w:tabs>
      <w:outlineLvl w:val="1"/>
    </w:pPr>
    <w:rPr>
      <w:rFonts w:ascii="Arial" w:hAnsi="Arial" w:cs="Arial"/>
      <w:b/>
      <w:bCs/>
      <w:iCs/>
      <w:smallCaps/>
      <w:sz w:val="28"/>
      <w:szCs w:val="28"/>
    </w:rPr>
  </w:style>
  <w:style w:type="paragraph" w:styleId="Heading3">
    <w:name w:val="heading 3"/>
    <w:basedOn w:val="Normal"/>
    <w:next w:val="Normal"/>
    <w:qFormat/>
    <w:pPr>
      <w:keepNext/>
      <w:keepLines/>
      <w:numPr>
        <w:ilvl w:val="2"/>
        <w:numId w:val="10"/>
      </w:numPr>
      <w:tabs>
        <w:tab w:val="clear" w:pos="720"/>
        <w:tab w:val="left" w:pos="1008"/>
      </w:tabs>
      <w:spacing w:before="240" w:beforeAutospacing="0" w:after="0" w:afterAutospacing="0"/>
      <w:outlineLvl w:val="2"/>
    </w:pPr>
    <w:rPr>
      <w:rFonts w:ascii="Arial" w:hAnsi="Arial" w:cs="Arial"/>
      <w:b/>
      <w:bCs/>
      <w:szCs w:val="26"/>
    </w:rPr>
  </w:style>
  <w:style w:type="paragraph" w:styleId="Heading4">
    <w:name w:val="heading 4"/>
    <w:basedOn w:val="Normal"/>
    <w:next w:val="Normal"/>
    <w:qFormat/>
    <w:pPr>
      <w:keepNext/>
      <w:keepLines/>
      <w:numPr>
        <w:ilvl w:val="3"/>
        <w:numId w:val="10"/>
      </w:numPr>
      <w:spacing w:before="120" w:beforeAutospacing="0" w:after="240" w:afterAutospacing="0"/>
      <w:outlineLvl w:val="3"/>
    </w:pPr>
    <w:rPr>
      <w:b/>
      <w:bCs/>
      <w:i/>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left" w:pos="7200"/>
      </w:tabs>
    </w:pPr>
    <w:rPr>
      <w:sz w:val="22"/>
    </w:rPr>
  </w:style>
  <w:style w:type="paragraph" w:customStyle="1" w:styleId="Formletterhead">
    <w:name w:val="Form: letterhead"/>
    <w:basedOn w:val="Referencestyle"/>
    <w:pPr>
      <w:tabs>
        <w:tab w:val="left" w:pos="5130"/>
        <w:tab w:val="left" w:pos="7290"/>
      </w:tabs>
      <w:ind w:left="180"/>
    </w:pPr>
    <w:rPr>
      <w:rFonts w:ascii="Arial" w:hAnsi="Arial"/>
      <w:sz w:val="28"/>
    </w:rPr>
  </w:style>
  <w:style w:type="paragraph" w:customStyle="1" w:styleId="Referencestyle">
    <w:name w:val="Reference style"/>
    <w:basedOn w:val="Normal"/>
  </w:style>
  <w:style w:type="paragraph" w:customStyle="1" w:styleId="Letdate">
    <w:name w:val="Let: date"/>
    <w:basedOn w:val="Referencestyle"/>
    <w:pPr>
      <w:tabs>
        <w:tab w:val="left" w:pos="5400"/>
        <w:tab w:val="left" w:pos="7200"/>
      </w:tabs>
    </w:pPr>
  </w:style>
  <w:style w:type="paragraph" w:customStyle="1" w:styleId="Letaddressee">
    <w:name w:val="Let: addressee"/>
    <w:basedOn w:val="Referencestyle"/>
    <w:pPr>
      <w:tabs>
        <w:tab w:val="left" w:pos="5400"/>
        <w:tab w:val="left" w:pos="7200"/>
      </w:tabs>
    </w:pPr>
  </w:style>
  <w:style w:type="paragraph" w:customStyle="1" w:styleId="Letdear">
    <w:name w:val="Let: dear"/>
    <w:basedOn w:val="Referencestyle"/>
    <w:pPr>
      <w:tabs>
        <w:tab w:val="left" w:pos="5400"/>
        <w:tab w:val="left" w:pos="7200"/>
      </w:tabs>
    </w:pPr>
  </w:style>
  <w:style w:type="paragraph" w:customStyle="1" w:styleId="Letsincerely">
    <w:name w:val="Let: sincerely"/>
    <w:basedOn w:val="Referencestyle"/>
    <w:pPr>
      <w:tabs>
        <w:tab w:val="left" w:pos="5400"/>
        <w:tab w:val="left" w:pos="7200"/>
      </w:tabs>
    </w:pPr>
  </w:style>
  <w:style w:type="paragraph" w:customStyle="1" w:styleId="Letsender">
    <w:name w:val="Let: sender"/>
    <w:basedOn w:val="Referencestyle"/>
    <w:pPr>
      <w:tabs>
        <w:tab w:val="left" w:pos="5400"/>
        <w:tab w:val="left" w:pos="7200"/>
      </w:tabs>
    </w:pPr>
  </w:style>
  <w:style w:type="paragraph" w:styleId="BodyTextIndent">
    <w:name w:val="Body Text Indent"/>
    <w:basedOn w:val="Normal"/>
    <w:pPr>
      <w:ind w:firstLine="720"/>
    </w:pPr>
  </w:style>
  <w:style w:type="character" w:styleId="Hyperlink">
    <w:name w:val="Hyperlink"/>
    <w:uiPriority w:val="99"/>
    <w:rPr>
      <w:color w:val="0000FF"/>
      <w:u w:val="single"/>
    </w:rPr>
  </w:style>
  <w:style w:type="paragraph" w:styleId="TOC1">
    <w:name w:val="toc 1"/>
    <w:basedOn w:val="Normal"/>
    <w:next w:val="Normal"/>
    <w:uiPriority w:val="39"/>
    <w:rPr>
      <w:b/>
      <w:bCs/>
      <w:caps/>
      <w:szCs w:val="24"/>
    </w:rPr>
  </w:style>
  <w:style w:type="paragraph" w:styleId="TOC2">
    <w:name w:val="toc 2"/>
    <w:basedOn w:val="Normal"/>
    <w:next w:val="Normal"/>
    <w:autoRedefine/>
    <w:uiPriority w:val="39"/>
    <w:pPr>
      <w:spacing w:before="0" w:after="0"/>
      <w:ind w:left="240"/>
    </w:pPr>
    <w:rPr>
      <w:smallCaps/>
      <w:szCs w:val="24"/>
    </w:rPr>
  </w:style>
  <w:style w:type="paragraph" w:styleId="TOC3">
    <w:name w:val="toc 3"/>
    <w:basedOn w:val="Normal"/>
    <w:next w:val="Normal"/>
    <w:autoRedefine/>
    <w:uiPriority w:val="39"/>
    <w:pPr>
      <w:spacing w:before="0" w:after="0"/>
      <w:ind w:left="480"/>
    </w:pPr>
    <w:rPr>
      <w:i/>
      <w:iCs/>
      <w:szCs w:val="24"/>
    </w:rPr>
  </w:style>
  <w:style w:type="paragraph" w:styleId="TOC4">
    <w:name w:val="toc 4"/>
    <w:basedOn w:val="Normal"/>
    <w:next w:val="Normal"/>
    <w:autoRedefine/>
    <w:semiHidden/>
    <w:pPr>
      <w:spacing w:before="0" w:after="0"/>
      <w:ind w:left="720"/>
    </w:pPr>
    <w:rPr>
      <w:szCs w:val="21"/>
    </w:rPr>
  </w:style>
  <w:style w:type="paragraph" w:styleId="TOC5">
    <w:name w:val="toc 5"/>
    <w:basedOn w:val="Normal"/>
    <w:next w:val="Normal"/>
    <w:autoRedefine/>
    <w:semiHidden/>
    <w:pPr>
      <w:spacing w:before="0" w:after="0"/>
      <w:ind w:left="960"/>
    </w:pPr>
    <w:rPr>
      <w:szCs w:val="21"/>
    </w:rPr>
  </w:style>
  <w:style w:type="paragraph" w:styleId="TOC6">
    <w:name w:val="toc 6"/>
    <w:basedOn w:val="Normal"/>
    <w:next w:val="Normal"/>
    <w:autoRedefine/>
    <w:semiHidden/>
    <w:pPr>
      <w:spacing w:before="0" w:after="0"/>
      <w:ind w:left="1200"/>
    </w:pPr>
    <w:rPr>
      <w:szCs w:val="21"/>
    </w:rPr>
  </w:style>
  <w:style w:type="paragraph" w:styleId="TOC7">
    <w:name w:val="toc 7"/>
    <w:basedOn w:val="Normal"/>
    <w:next w:val="Normal"/>
    <w:autoRedefine/>
    <w:semiHidden/>
    <w:pPr>
      <w:spacing w:before="0" w:after="0"/>
      <w:ind w:left="1440"/>
    </w:pPr>
    <w:rPr>
      <w:szCs w:val="21"/>
    </w:rPr>
  </w:style>
  <w:style w:type="paragraph" w:styleId="TOC8">
    <w:name w:val="toc 8"/>
    <w:basedOn w:val="Normal"/>
    <w:next w:val="Normal"/>
    <w:autoRedefine/>
    <w:semiHidden/>
    <w:pPr>
      <w:spacing w:before="0" w:after="0"/>
      <w:ind w:left="1680"/>
    </w:pPr>
    <w:rPr>
      <w:szCs w:val="21"/>
    </w:rPr>
  </w:style>
  <w:style w:type="paragraph" w:styleId="TOC9">
    <w:name w:val="toc 9"/>
    <w:basedOn w:val="Normal"/>
    <w:next w:val="Normal"/>
    <w:autoRedefine/>
    <w:semiHidden/>
    <w:pPr>
      <w:spacing w:before="0" w:after="0"/>
      <w:ind w:left="1920"/>
    </w:pPr>
    <w:rPr>
      <w:szCs w:val="21"/>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autoSpaceDE w:val="0"/>
      <w:autoSpaceDN w:val="0"/>
      <w:adjustRightInd w:val="0"/>
    </w:pPr>
    <w:rPr>
      <w:color w:val="000000"/>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1a">
    <w:name w:val="Heading 1a"/>
    <w:basedOn w:val="Normal"/>
    <w:next w:val="Normal"/>
    <w:pPr>
      <w:keepNext/>
      <w:keepLines/>
      <w:numPr>
        <w:numId w:val="9"/>
      </w:numPr>
      <w:spacing w:before="1440" w:beforeAutospacing="0" w:after="240" w:afterAutospacing="0"/>
      <w:jc w:val="center"/>
      <w:outlineLvl w:val="0"/>
    </w:pPr>
    <w:rPr>
      <w:b/>
      <w:caps/>
      <w:sz w:val="32"/>
      <w:szCs w:val="24"/>
    </w:rPr>
  </w:style>
  <w:style w:type="paragraph" w:customStyle="1" w:styleId="MainParawithChapter">
    <w:name w:val="Main Para with Chapter#"/>
    <w:basedOn w:val="Normal"/>
    <w:pPr>
      <w:spacing w:before="0" w:beforeAutospacing="0" w:after="240" w:afterAutospacing="0"/>
      <w:outlineLvl w:val="1"/>
    </w:pPr>
    <w:rPr>
      <w:szCs w:val="24"/>
    </w:rPr>
  </w:style>
  <w:style w:type="paragraph" w:customStyle="1" w:styleId="MainParanoChapter">
    <w:name w:val="Main Para no Chapter #"/>
    <w:basedOn w:val="Normal"/>
    <w:pPr>
      <w:numPr>
        <w:ilvl w:val="1"/>
        <w:numId w:val="12"/>
      </w:numPr>
      <w:tabs>
        <w:tab w:val="clear" w:pos="720"/>
      </w:tabs>
      <w:spacing w:before="0" w:beforeAutospacing="0" w:after="240" w:afterAutospacing="0"/>
      <w:ind w:left="0" w:firstLine="0"/>
      <w:outlineLvl w:val="1"/>
    </w:pPr>
    <w:rPr>
      <w:szCs w:val="24"/>
    </w:rPr>
  </w:style>
  <w:style w:type="paragraph" w:customStyle="1" w:styleId="Sub-Para1underX">
    <w:name w:val="Sub-Para 1 under X."/>
    <w:basedOn w:val="Normal"/>
    <w:pPr>
      <w:numPr>
        <w:ilvl w:val="2"/>
        <w:numId w:val="13"/>
      </w:numPr>
      <w:tabs>
        <w:tab w:val="clear" w:pos="1080"/>
      </w:tabs>
      <w:spacing w:before="0" w:beforeAutospacing="0" w:after="240" w:afterAutospacing="0"/>
      <w:ind w:left="1440" w:hanging="720"/>
      <w:outlineLvl w:val="2"/>
    </w:pPr>
    <w:rPr>
      <w:szCs w:val="24"/>
    </w:rPr>
  </w:style>
  <w:style w:type="paragraph" w:customStyle="1" w:styleId="Sub-Para1underXY">
    <w:name w:val="Sub-Para 1 under X.Y"/>
    <w:basedOn w:val="Normal"/>
    <w:pPr>
      <w:spacing w:before="0" w:beforeAutospacing="0" w:after="240" w:afterAutospacing="0"/>
      <w:outlineLvl w:val="2"/>
    </w:pPr>
    <w:rPr>
      <w:szCs w:val="24"/>
    </w:rPr>
  </w:style>
  <w:style w:type="paragraph" w:customStyle="1" w:styleId="Sub-Para2underX">
    <w:name w:val="Sub-Para 2 under X."/>
    <w:basedOn w:val="Normal"/>
    <w:pPr>
      <w:numPr>
        <w:ilvl w:val="3"/>
        <w:numId w:val="15"/>
      </w:numPr>
      <w:tabs>
        <w:tab w:val="clear" w:pos="1800"/>
      </w:tabs>
      <w:spacing w:before="0" w:beforeAutospacing="0" w:after="240" w:afterAutospacing="0"/>
      <w:ind w:left="2160" w:hanging="720"/>
      <w:outlineLvl w:val="3"/>
    </w:pPr>
    <w:rPr>
      <w:szCs w:val="24"/>
    </w:rPr>
  </w:style>
  <w:style w:type="paragraph" w:customStyle="1" w:styleId="Sub-Para2underXY">
    <w:name w:val="Sub-Para 2 under X.Y"/>
    <w:basedOn w:val="Normal"/>
    <w:pPr>
      <w:spacing w:before="0" w:beforeAutospacing="0" w:after="240" w:afterAutospacing="0"/>
      <w:outlineLvl w:val="3"/>
    </w:pPr>
    <w:rPr>
      <w:szCs w:val="24"/>
    </w:rPr>
  </w:style>
  <w:style w:type="paragraph" w:customStyle="1" w:styleId="Sub-Para3underX">
    <w:name w:val="Sub-Para 3 under X."/>
    <w:basedOn w:val="Normal"/>
    <w:pPr>
      <w:numPr>
        <w:ilvl w:val="4"/>
        <w:numId w:val="17"/>
      </w:numPr>
      <w:tabs>
        <w:tab w:val="clear" w:pos="1440"/>
      </w:tabs>
      <w:spacing w:before="0" w:beforeAutospacing="0" w:after="240" w:afterAutospacing="0"/>
      <w:ind w:left="2880" w:hanging="720"/>
      <w:outlineLvl w:val="4"/>
    </w:pPr>
    <w:rPr>
      <w:szCs w:val="24"/>
    </w:rPr>
  </w:style>
  <w:style w:type="paragraph" w:customStyle="1" w:styleId="Sub-Para3underXY">
    <w:name w:val="Sub-Para 3 under X.Y"/>
    <w:basedOn w:val="Normal"/>
    <w:pPr>
      <w:spacing w:before="0" w:beforeAutospacing="0" w:after="240" w:afterAutospacing="0"/>
      <w:outlineLvl w:val="4"/>
    </w:pPr>
    <w:rPr>
      <w:szCs w:val="24"/>
    </w:rPr>
  </w:style>
  <w:style w:type="paragraph" w:customStyle="1" w:styleId="Sub-Para4underX">
    <w:name w:val="Sub-Para 4 under X."/>
    <w:basedOn w:val="Normal"/>
    <w:pPr>
      <w:numPr>
        <w:ilvl w:val="5"/>
        <w:numId w:val="19"/>
      </w:numPr>
      <w:tabs>
        <w:tab w:val="clear" w:pos="2160"/>
      </w:tabs>
      <w:spacing w:before="0" w:beforeAutospacing="0" w:after="240" w:afterAutospacing="0"/>
      <w:ind w:left="3600" w:hanging="720"/>
      <w:outlineLvl w:val="5"/>
    </w:pPr>
    <w:rPr>
      <w:szCs w:val="24"/>
    </w:rPr>
  </w:style>
  <w:style w:type="paragraph" w:customStyle="1" w:styleId="Sub-Para4underXY">
    <w:name w:val="Sub-Para 4 under X.Y"/>
    <w:basedOn w:val="Normal"/>
    <w:pPr>
      <w:spacing w:before="0" w:beforeAutospacing="0" w:after="240" w:afterAutospacing="0"/>
      <w:outlineLvl w:val="5"/>
    </w:pPr>
    <w:rPr>
      <w:szCs w:val="24"/>
    </w:rPr>
  </w:style>
  <w:style w:type="paragraph" w:customStyle="1" w:styleId="Bullet">
    <w:name w:val="Bullet"/>
    <w:basedOn w:val="Normal"/>
    <w:pPr>
      <w:numPr>
        <w:numId w:val="21"/>
      </w:numPr>
      <w:tabs>
        <w:tab w:val="clear" w:pos="1440"/>
      </w:tabs>
      <w:spacing w:before="0" w:beforeAutospacing="0" w:after="0" w:afterAutospacing="0"/>
    </w:pPr>
    <w:rPr>
      <w:szCs w:val="24"/>
    </w:rPr>
  </w:style>
  <w:style w:type="paragraph" w:styleId="BodyText2">
    <w:name w:val="Body Text 2"/>
    <w:basedOn w:val="Normal"/>
    <w:pPr>
      <w:tabs>
        <w:tab w:val="right" w:pos="7587"/>
      </w:tabs>
      <w:jc w:val="center"/>
    </w:pPr>
    <w:rPr>
      <w:rFonts w:ascii="Arial" w:hAnsi="Arial"/>
      <w:sz w:val="48"/>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BalloonText">
    <w:name w:val="Balloon Text"/>
    <w:basedOn w:val="Normal"/>
    <w:link w:val="BalloonTextChar"/>
    <w:rsid w:val="00F25648"/>
    <w:pPr>
      <w:spacing w:before="0" w:after="0"/>
    </w:pPr>
    <w:rPr>
      <w:rFonts w:ascii="Tahoma" w:hAnsi="Tahoma"/>
      <w:sz w:val="16"/>
      <w:szCs w:val="16"/>
      <w:lang w:val="x-none" w:eastAsia="x-none"/>
    </w:rPr>
  </w:style>
  <w:style w:type="character" w:customStyle="1" w:styleId="BalloonTextChar">
    <w:name w:val="Balloon Text Char"/>
    <w:link w:val="BalloonText"/>
    <w:rsid w:val="00F25648"/>
    <w:rPr>
      <w:rFonts w:ascii="Tahoma" w:hAnsi="Tahoma" w:cs="Tahoma"/>
      <w:sz w:val="16"/>
      <w:szCs w:val="16"/>
    </w:rPr>
  </w:style>
  <w:style w:type="character" w:styleId="CommentReference">
    <w:name w:val="annotation reference"/>
    <w:rsid w:val="009824D7"/>
    <w:rPr>
      <w:sz w:val="16"/>
      <w:szCs w:val="16"/>
    </w:rPr>
  </w:style>
  <w:style w:type="paragraph" w:styleId="CommentSubject">
    <w:name w:val="annotation subject"/>
    <w:basedOn w:val="CommentText"/>
    <w:next w:val="CommentText"/>
    <w:link w:val="CommentSubjectChar"/>
    <w:rsid w:val="009824D7"/>
    <w:rPr>
      <w:b/>
      <w:bCs/>
      <w:lang w:val="x-none" w:eastAsia="x-none"/>
    </w:rPr>
  </w:style>
  <w:style w:type="character" w:customStyle="1" w:styleId="CommentTextChar">
    <w:name w:val="Comment Text Char"/>
    <w:basedOn w:val="DefaultParagraphFont"/>
    <w:link w:val="CommentText"/>
    <w:semiHidden/>
    <w:rsid w:val="009824D7"/>
  </w:style>
  <w:style w:type="character" w:customStyle="1" w:styleId="CommentSubjectChar">
    <w:name w:val="Comment Subject Char"/>
    <w:link w:val="CommentSubject"/>
    <w:rsid w:val="009824D7"/>
    <w:rPr>
      <w:b/>
      <w:bCs/>
    </w:rPr>
  </w:style>
  <w:style w:type="character" w:styleId="UnresolvedMention">
    <w:name w:val="Unresolved Mention"/>
    <w:basedOn w:val="DefaultParagraphFont"/>
    <w:uiPriority w:val="99"/>
    <w:semiHidden/>
    <w:unhideWhenUsed/>
    <w:rsid w:val="002D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mailto:wbg.mip@cigna.com" TargetMode="External"/><Relationship Id="rId3" Type="http://schemas.openxmlformats.org/officeDocument/2006/relationships/styles" Target="styles.xml"/><Relationship Id="rId21" Type="http://schemas.openxmlformats.org/officeDocument/2006/relationships/hyperlink" Target="http://mip" TargetMode="External"/><Relationship Id="rId7" Type="http://schemas.openxmlformats.org/officeDocument/2006/relationships/endnotes" Target="endnotes.xml"/><Relationship Id="rId12" Type="http://schemas.openxmlformats.org/officeDocument/2006/relationships/hyperlink" Target="http://www.aetna.com/docfind" TargetMode="External"/><Relationship Id="rId17" Type="http://schemas.openxmlformats.org/officeDocument/2006/relationships/hyperlink" Target="mailto:hroperations@worldbank.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hroperation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ldbank.org/en/about/unit/human-resources" TargetMode="External"/><Relationship Id="rId23" Type="http://schemas.openxmlformats.org/officeDocument/2006/relationships/hyperlink" Target="http://www.aetna.com/" TargetMode="External"/><Relationship Id="rId10" Type="http://schemas.openxmlformats.org/officeDocument/2006/relationships/footer" Target="footer2.xml"/><Relationship Id="rId19" Type="http://schemas.openxmlformats.org/officeDocument/2006/relationships/hyperlink" Target="http://www.cignahealthbenefi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mailto:mclaims@aetn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talystrx.com/worldbank" TargetMode="External"/><Relationship Id="rId2" Type="http://schemas.openxmlformats.org/officeDocument/2006/relationships/hyperlink" Target="http://www.worldbank.org/en/about/unit/human-resources" TargetMode="External"/><Relationship Id="rId1" Type="http://schemas.openxmlformats.org/officeDocument/2006/relationships/hyperlink" Target="http://h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E224-7471-4071-8154-1C07EE33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4950</Words>
  <Characters>31713</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36590</CharactersWithSpaces>
  <SharedDoc>false</SharedDoc>
  <HLinks>
    <vt:vector size="384" baseType="variant">
      <vt:variant>
        <vt:i4>5308442</vt:i4>
      </vt:variant>
      <vt:variant>
        <vt:i4>384</vt:i4>
      </vt:variant>
      <vt:variant>
        <vt:i4>0</vt:i4>
      </vt:variant>
      <vt:variant>
        <vt:i4>5</vt:i4>
      </vt:variant>
      <vt:variant>
        <vt:lpwstr>http://www.aetna.com/</vt:lpwstr>
      </vt:variant>
      <vt:variant>
        <vt:lpwstr/>
      </vt:variant>
      <vt:variant>
        <vt:i4>196655</vt:i4>
      </vt:variant>
      <vt:variant>
        <vt:i4>381</vt:i4>
      </vt:variant>
      <vt:variant>
        <vt:i4>0</vt:i4>
      </vt:variant>
      <vt:variant>
        <vt:i4>5</vt:i4>
      </vt:variant>
      <vt:variant>
        <vt:lpwstr>mailto:mclaims@aetna.com</vt:lpwstr>
      </vt:variant>
      <vt:variant>
        <vt:lpwstr/>
      </vt:variant>
      <vt:variant>
        <vt:i4>3539040</vt:i4>
      </vt:variant>
      <vt:variant>
        <vt:i4>378</vt:i4>
      </vt:variant>
      <vt:variant>
        <vt:i4>0</vt:i4>
      </vt:variant>
      <vt:variant>
        <vt:i4>5</vt:i4>
      </vt:variant>
      <vt:variant>
        <vt:lpwstr>http://mip/</vt:lpwstr>
      </vt:variant>
      <vt:variant>
        <vt:lpwstr/>
      </vt:variant>
      <vt:variant>
        <vt:i4>4063279</vt:i4>
      </vt:variant>
      <vt:variant>
        <vt:i4>375</vt:i4>
      </vt:variant>
      <vt:variant>
        <vt:i4>0</vt:i4>
      </vt:variant>
      <vt:variant>
        <vt:i4>5</vt:i4>
      </vt:variant>
      <vt:variant>
        <vt:lpwstr>http://www.worldbank.org/humanresources</vt:lpwstr>
      </vt:variant>
      <vt:variant>
        <vt:lpwstr/>
      </vt:variant>
      <vt:variant>
        <vt:i4>7667798</vt:i4>
      </vt:variant>
      <vt:variant>
        <vt:i4>372</vt:i4>
      </vt:variant>
      <vt:variant>
        <vt:i4>0</vt:i4>
      </vt:variant>
      <vt:variant>
        <vt:i4>5</vt:i4>
      </vt:variant>
      <vt:variant>
        <vt:lpwstr>mailto:hroperations@worldbank.org</vt:lpwstr>
      </vt:variant>
      <vt:variant>
        <vt:lpwstr/>
      </vt:variant>
      <vt:variant>
        <vt:i4>3866741</vt:i4>
      </vt:variant>
      <vt:variant>
        <vt:i4>369</vt:i4>
      </vt:variant>
      <vt:variant>
        <vt:i4>0</vt:i4>
      </vt:variant>
      <vt:variant>
        <vt:i4>5</vt:i4>
      </vt:variant>
      <vt:variant>
        <vt:lpwstr>http://www.cignahealthbenefits.com/</vt:lpwstr>
      </vt:variant>
      <vt:variant>
        <vt:lpwstr/>
      </vt:variant>
      <vt:variant>
        <vt:i4>262249</vt:i4>
      </vt:variant>
      <vt:variant>
        <vt:i4>366</vt:i4>
      </vt:variant>
      <vt:variant>
        <vt:i4>0</vt:i4>
      </vt:variant>
      <vt:variant>
        <vt:i4>5</vt:i4>
      </vt:variant>
      <vt:variant>
        <vt:lpwstr>mailto:wbg.mip@cigna.com</vt:lpwstr>
      </vt:variant>
      <vt:variant>
        <vt:lpwstr/>
      </vt:variant>
      <vt:variant>
        <vt:i4>7667798</vt:i4>
      </vt:variant>
      <vt:variant>
        <vt:i4>363</vt:i4>
      </vt:variant>
      <vt:variant>
        <vt:i4>0</vt:i4>
      </vt:variant>
      <vt:variant>
        <vt:i4>5</vt:i4>
      </vt:variant>
      <vt:variant>
        <vt:lpwstr>mailto:hroperations@worldbank.org</vt:lpwstr>
      </vt:variant>
      <vt:variant>
        <vt:lpwstr/>
      </vt:variant>
      <vt:variant>
        <vt:i4>5963858</vt:i4>
      </vt:variant>
      <vt:variant>
        <vt:i4>336</vt:i4>
      </vt:variant>
      <vt:variant>
        <vt:i4>0</vt:i4>
      </vt:variant>
      <vt:variant>
        <vt:i4>5</vt:i4>
      </vt:variant>
      <vt:variant>
        <vt:lpwstr>http://www.aetna.com/docfind</vt:lpwstr>
      </vt:variant>
      <vt:variant>
        <vt:lpwstr/>
      </vt:variant>
      <vt:variant>
        <vt:i4>1048633</vt:i4>
      </vt:variant>
      <vt:variant>
        <vt:i4>308</vt:i4>
      </vt:variant>
      <vt:variant>
        <vt:i4>0</vt:i4>
      </vt:variant>
      <vt:variant>
        <vt:i4>5</vt:i4>
      </vt:variant>
      <vt:variant>
        <vt:lpwstr/>
      </vt:variant>
      <vt:variant>
        <vt:lpwstr>_Toc403988663</vt:lpwstr>
      </vt:variant>
      <vt:variant>
        <vt:i4>1048633</vt:i4>
      </vt:variant>
      <vt:variant>
        <vt:i4>302</vt:i4>
      </vt:variant>
      <vt:variant>
        <vt:i4>0</vt:i4>
      </vt:variant>
      <vt:variant>
        <vt:i4>5</vt:i4>
      </vt:variant>
      <vt:variant>
        <vt:lpwstr/>
      </vt:variant>
      <vt:variant>
        <vt:lpwstr>_Toc403988662</vt:lpwstr>
      </vt:variant>
      <vt:variant>
        <vt:i4>1048633</vt:i4>
      </vt:variant>
      <vt:variant>
        <vt:i4>296</vt:i4>
      </vt:variant>
      <vt:variant>
        <vt:i4>0</vt:i4>
      </vt:variant>
      <vt:variant>
        <vt:i4>5</vt:i4>
      </vt:variant>
      <vt:variant>
        <vt:lpwstr/>
      </vt:variant>
      <vt:variant>
        <vt:lpwstr>_Toc403988661</vt:lpwstr>
      </vt:variant>
      <vt:variant>
        <vt:i4>1048633</vt:i4>
      </vt:variant>
      <vt:variant>
        <vt:i4>290</vt:i4>
      </vt:variant>
      <vt:variant>
        <vt:i4>0</vt:i4>
      </vt:variant>
      <vt:variant>
        <vt:i4>5</vt:i4>
      </vt:variant>
      <vt:variant>
        <vt:lpwstr/>
      </vt:variant>
      <vt:variant>
        <vt:lpwstr>_Toc403988660</vt:lpwstr>
      </vt:variant>
      <vt:variant>
        <vt:i4>1245241</vt:i4>
      </vt:variant>
      <vt:variant>
        <vt:i4>284</vt:i4>
      </vt:variant>
      <vt:variant>
        <vt:i4>0</vt:i4>
      </vt:variant>
      <vt:variant>
        <vt:i4>5</vt:i4>
      </vt:variant>
      <vt:variant>
        <vt:lpwstr/>
      </vt:variant>
      <vt:variant>
        <vt:lpwstr>_Toc403988659</vt:lpwstr>
      </vt:variant>
      <vt:variant>
        <vt:i4>1245241</vt:i4>
      </vt:variant>
      <vt:variant>
        <vt:i4>278</vt:i4>
      </vt:variant>
      <vt:variant>
        <vt:i4>0</vt:i4>
      </vt:variant>
      <vt:variant>
        <vt:i4>5</vt:i4>
      </vt:variant>
      <vt:variant>
        <vt:lpwstr/>
      </vt:variant>
      <vt:variant>
        <vt:lpwstr>_Toc403988658</vt:lpwstr>
      </vt:variant>
      <vt:variant>
        <vt:i4>1245241</vt:i4>
      </vt:variant>
      <vt:variant>
        <vt:i4>272</vt:i4>
      </vt:variant>
      <vt:variant>
        <vt:i4>0</vt:i4>
      </vt:variant>
      <vt:variant>
        <vt:i4>5</vt:i4>
      </vt:variant>
      <vt:variant>
        <vt:lpwstr/>
      </vt:variant>
      <vt:variant>
        <vt:lpwstr>_Toc403988657</vt:lpwstr>
      </vt:variant>
      <vt:variant>
        <vt:i4>1245241</vt:i4>
      </vt:variant>
      <vt:variant>
        <vt:i4>266</vt:i4>
      </vt:variant>
      <vt:variant>
        <vt:i4>0</vt:i4>
      </vt:variant>
      <vt:variant>
        <vt:i4>5</vt:i4>
      </vt:variant>
      <vt:variant>
        <vt:lpwstr/>
      </vt:variant>
      <vt:variant>
        <vt:lpwstr>_Toc403988656</vt:lpwstr>
      </vt:variant>
      <vt:variant>
        <vt:i4>1245241</vt:i4>
      </vt:variant>
      <vt:variant>
        <vt:i4>260</vt:i4>
      </vt:variant>
      <vt:variant>
        <vt:i4>0</vt:i4>
      </vt:variant>
      <vt:variant>
        <vt:i4>5</vt:i4>
      </vt:variant>
      <vt:variant>
        <vt:lpwstr/>
      </vt:variant>
      <vt:variant>
        <vt:lpwstr>_Toc403988655</vt:lpwstr>
      </vt:variant>
      <vt:variant>
        <vt:i4>1245241</vt:i4>
      </vt:variant>
      <vt:variant>
        <vt:i4>254</vt:i4>
      </vt:variant>
      <vt:variant>
        <vt:i4>0</vt:i4>
      </vt:variant>
      <vt:variant>
        <vt:i4>5</vt:i4>
      </vt:variant>
      <vt:variant>
        <vt:lpwstr/>
      </vt:variant>
      <vt:variant>
        <vt:lpwstr>_Toc403988654</vt:lpwstr>
      </vt:variant>
      <vt:variant>
        <vt:i4>1245241</vt:i4>
      </vt:variant>
      <vt:variant>
        <vt:i4>248</vt:i4>
      </vt:variant>
      <vt:variant>
        <vt:i4>0</vt:i4>
      </vt:variant>
      <vt:variant>
        <vt:i4>5</vt:i4>
      </vt:variant>
      <vt:variant>
        <vt:lpwstr/>
      </vt:variant>
      <vt:variant>
        <vt:lpwstr>_Toc403988653</vt:lpwstr>
      </vt:variant>
      <vt:variant>
        <vt:i4>1245241</vt:i4>
      </vt:variant>
      <vt:variant>
        <vt:i4>242</vt:i4>
      </vt:variant>
      <vt:variant>
        <vt:i4>0</vt:i4>
      </vt:variant>
      <vt:variant>
        <vt:i4>5</vt:i4>
      </vt:variant>
      <vt:variant>
        <vt:lpwstr/>
      </vt:variant>
      <vt:variant>
        <vt:lpwstr>_Toc403988652</vt:lpwstr>
      </vt:variant>
      <vt:variant>
        <vt:i4>1245241</vt:i4>
      </vt:variant>
      <vt:variant>
        <vt:i4>236</vt:i4>
      </vt:variant>
      <vt:variant>
        <vt:i4>0</vt:i4>
      </vt:variant>
      <vt:variant>
        <vt:i4>5</vt:i4>
      </vt:variant>
      <vt:variant>
        <vt:lpwstr/>
      </vt:variant>
      <vt:variant>
        <vt:lpwstr>_Toc403988651</vt:lpwstr>
      </vt:variant>
      <vt:variant>
        <vt:i4>1245241</vt:i4>
      </vt:variant>
      <vt:variant>
        <vt:i4>230</vt:i4>
      </vt:variant>
      <vt:variant>
        <vt:i4>0</vt:i4>
      </vt:variant>
      <vt:variant>
        <vt:i4>5</vt:i4>
      </vt:variant>
      <vt:variant>
        <vt:lpwstr/>
      </vt:variant>
      <vt:variant>
        <vt:lpwstr>_Toc403988650</vt:lpwstr>
      </vt:variant>
      <vt:variant>
        <vt:i4>1179705</vt:i4>
      </vt:variant>
      <vt:variant>
        <vt:i4>224</vt:i4>
      </vt:variant>
      <vt:variant>
        <vt:i4>0</vt:i4>
      </vt:variant>
      <vt:variant>
        <vt:i4>5</vt:i4>
      </vt:variant>
      <vt:variant>
        <vt:lpwstr/>
      </vt:variant>
      <vt:variant>
        <vt:lpwstr>_Toc403988649</vt:lpwstr>
      </vt:variant>
      <vt:variant>
        <vt:i4>1179705</vt:i4>
      </vt:variant>
      <vt:variant>
        <vt:i4>218</vt:i4>
      </vt:variant>
      <vt:variant>
        <vt:i4>0</vt:i4>
      </vt:variant>
      <vt:variant>
        <vt:i4>5</vt:i4>
      </vt:variant>
      <vt:variant>
        <vt:lpwstr/>
      </vt:variant>
      <vt:variant>
        <vt:lpwstr>_Toc403988648</vt:lpwstr>
      </vt:variant>
      <vt:variant>
        <vt:i4>1179705</vt:i4>
      </vt:variant>
      <vt:variant>
        <vt:i4>212</vt:i4>
      </vt:variant>
      <vt:variant>
        <vt:i4>0</vt:i4>
      </vt:variant>
      <vt:variant>
        <vt:i4>5</vt:i4>
      </vt:variant>
      <vt:variant>
        <vt:lpwstr/>
      </vt:variant>
      <vt:variant>
        <vt:lpwstr>_Toc403988647</vt:lpwstr>
      </vt:variant>
      <vt:variant>
        <vt:i4>1179705</vt:i4>
      </vt:variant>
      <vt:variant>
        <vt:i4>206</vt:i4>
      </vt:variant>
      <vt:variant>
        <vt:i4>0</vt:i4>
      </vt:variant>
      <vt:variant>
        <vt:i4>5</vt:i4>
      </vt:variant>
      <vt:variant>
        <vt:lpwstr/>
      </vt:variant>
      <vt:variant>
        <vt:lpwstr>_Toc403988646</vt:lpwstr>
      </vt:variant>
      <vt:variant>
        <vt:i4>1179705</vt:i4>
      </vt:variant>
      <vt:variant>
        <vt:i4>200</vt:i4>
      </vt:variant>
      <vt:variant>
        <vt:i4>0</vt:i4>
      </vt:variant>
      <vt:variant>
        <vt:i4>5</vt:i4>
      </vt:variant>
      <vt:variant>
        <vt:lpwstr/>
      </vt:variant>
      <vt:variant>
        <vt:lpwstr>_Toc403988645</vt:lpwstr>
      </vt:variant>
      <vt:variant>
        <vt:i4>1179705</vt:i4>
      </vt:variant>
      <vt:variant>
        <vt:i4>194</vt:i4>
      </vt:variant>
      <vt:variant>
        <vt:i4>0</vt:i4>
      </vt:variant>
      <vt:variant>
        <vt:i4>5</vt:i4>
      </vt:variant>
      <vt:variant>
        <vt:lpwstr/>
      </vt:variant>
      <vt:variant>
        <vt:lpwstr>_Toc403988644</vt:lpwstr>
      </vt:variant>
      <vt:variant>
        <vt:i4>1179705</vt:i4>
      </vt:variant>
      <vt:variant>
        <vt:i4>188</vt:i4>
      </vt:variant>
      <vt:variant>
        <vt:i4>0</vt:i4>
      </vt:variant>
      <vt:variant>
        <vt:i4>5</vt:i4>
      </vt:variant>
      <vt:variant>
        <vt:lpwstr/>
      </vt:variant>
      <vt:variant>
        <vt:lpwstr>_Toc403988643</vt:lpwstr>
      </vt:variant>
      <vt:variant>
        <vt:i4>1179705</vt:i4>
      </vt:variant>
      <vt:variant>
        <vt:i4>182</vt:i4>
      </vt:variant>
      <vt:variant>
        <vt:i4>0</vt:i4>
      </vt:variant>
      <vt:variant>
        <vt:i4>5</vt:i4>
      </vt:variant>
      <vt:variant>
        <vt:lpwstr/>
      </vt:variant>
      <vt:variant>
        <vt:lpwstr>_Toc403988642</vt:lpwstr>
      </vt:variant>
      <vt:variant>
        <vt:i4>1179705</vt:i4>
      </vt:variant>
      <vt:variant>
        <vt:i4>176</vt:i4>
      </vt:variant>
      <vt:variant>
        <vt:i4>0</vt:i4>
      </vt:variant>
      <vt:variant>
        <vt:i4>5</vt:i4>
      </vt:variant>
      <vt:variant>
        <vt:lpwstr/>
      </vt:variant>
      <vt:variant>
        <vt:lpwstr>_Toc403988641</vt:lpwstr>
      </vt:variant>
      <vt:variant>
        <vt:i4>1179705</vt:i4>
      </vt:variant>
      <vt:variant>
        <vt:i4>170</vt:i4>
      </vt:variant>
      <vt:variant>
        <vt:i4>0</vt:i4>
      </vt:variant>
      <vt:variant>
        <vt:i4>5</vt:i4>
      </vt:variant>
      <vt:variant>
        <vt:lpwstr/>
      </vt:variant>
      <vt:variant>
        <vt:lpwstr>_Toc403988640</vt:lpwstr>
      </vt:variant>
      <vt:variant>
        <vt:i4>1376313</vt:i4>
      </vt:variant>
      <vt:variant>
        <vt:i4>164</vt:i4>
      </vt:variant>
      <vt:variant>
        <vt:i4>0</vt:i4>
      </vt:variant>
      <vt:variant>
        <vt:i4>5</vt:i4>
      </vt:variant>
      <vt:variant>
        <vt:lpwstr/>
      </vt:variant>
      <vt:variant>
        <vt:lpwstr>_Toc403988639</vt:lpwstr>
      </vt:variant>
      <vt:variant>
        <vt:i4>1376313</vt:i4>
      </vt:variant>
      <vt:variant>
        <vt:i4>158</vt:i4>
      </vt:variant>
      <vt:variant>
        <vt:i4>0</vt:i4>
      </vt:variant>
      <vt:variant>
        <vt:i4>5</vt:i4>
      </vt:variant>
      <vt:variant>
        <vt:lpwstr/>
      </vt:variant>
      <vt:variant>
        <vt:lpwstr>_Toc403988638</vt:lpwstr>
      </vt:variant>
      <vt:variant>
        <vt:i4>1376313</vt:i4>
      </vt:variant>
      <vt:variant>
        <vt:i4>152</vt:i4>
      </vt:variant>
      <vt:variant>
        <vt:i4>0</vt:i4>
      </vt:variant>
      <vt:variant>
        <vt:i4>5</vt:i4>
      </vt:variant>
      <vt:variant>
        <vt:lpwstr/>
      </vt:variant>
      <vt:variant>
        <vt:lpwstr>_Toc403988637</vt:lpwstr>
      </vt:variant>
      <vt:variant>
        <vt:i4>1376313</vt:i4>
      </vt:variant>
      <vt:variant>
        <vt:i4>146</vt:i4>
      </vt:variant>
      <vt:variant>
        <vt:i4>0</vt:i4>
      </vt:variant>
      <vt:variant>
        <vt:i4>5</vt:i4>
      </vt:variant>
      <vt:variant>
        <vt:lpwstr/>
      </vt:variant>
      <vt:variant>
        <vt:lpwstr>_Toc403988636</vt:lpwstr>
      </vt:variant>
      <vt:variant>
        <vt:i4>1376313</vt:i4>
      </vt:variant>
      <vt:variant>
        <vt:i4>140</vt:i4>
      </vt:variant>
      <vt:variant>
        <vt:i4>0</vt:i4>
      </vt:variant>
      <vt:variant>
        <vt:i4>5</vt:i4>
      </vt:variant>
      <vt:variant>
        <vt:lpwstr/>
      </vt:variant>
      <vt:variant>
        <vt:lpwstr>_Toc403988635</vt:lpwstr>
      </vt:variant>
      <vt:variant>
        <vt:i4>1376313</vt:i4>
      </vt:variant>
      <vt:variant>
        <vt:i4>134</vt:i4>
      </vt:variant>
      <vt:variant>
        <vt:i4>0</vt:i4>
      </vt:variant>
      <vt:variant>
        <vt:i4>5</vt:i4>
      </vt:variant>
      <vt:variant>
        <vt:lpwstr/>
      </vt:variant>
      <vt:variant>
        <vt:lpwstr>_Toc403988634</vt:lpwstr>
      </vt:variant>
      <vt:variant>
        <vt:i4>1376313</vt:i4>
      </vt:variant>
      <vt:variant>
        <vt:i4>128</vt:i4>
      </vt:variant>
      <vt:variant>
        <vt:i4>0</vt:i4>
      </vt:variant>
      <vt:variant>
        <vt:i4>5</vt:i4>
      </vt:variant>
      <vt:variant>
        <vt:lpwstr/>
      </vt:variant>
      <vt:variant>
        <vt:lpwstr>_Toc403988633</vt:lpwstr>
      </vt:variant>
      <vt:variant>
        <vt:i4>1376313</vt:i4>
      </vt:variant>
      <vt:variant>
        <vt:i4>122</vt:i4>
      </vt:variant>
      <vt:variant>
        <vt:i4>0</vt:i4>
      </vt:variant>
      <vt:variant>
        <vt:i4>5</vt:i4>
      </vt:variant>
      <vt:variant>
        <vt:lpwstr/>
      </vt:variant>
      <vt:variant>
        <vt:lpwstr>_Toc403988632</vt:lpwstr>
      </vt:variant>
      <vt:variant>
        <vt:i4>1376313</vt:i4>
      </vt:variant>
      <vt:variant>
        <vt:i4>116</vt:i4>
      </vt:variant>
      <vt:variant>
        <vt:i4>0</vt:i4>
      </vt:variant>
      <vt:variant>
        <vt:i4>5</vt:i4>
      </vt:variant>
      <vt:variant>
        <vt:lpwstr/>
      </vt:variant>
      <vt:variant>
        <vt:lpwstr>_Toc403988631</vt:lpwstr>
      </vt:variant>
      <vt:variant>
        <vt:i4>1376313</vt:i4>
      </vt:variant>
      <vt:variant>
        <vt:i4>110</vt:i4>
      </vt:variant>
      <vt:variant>
        <vt:i4>0</vt:i4>
      </vt:variant>
      <vt:variant>
        <vt:i4>5</vt:i4>
      </vt:variant>
      <vt:variant>
        <vt:lpwstr/>
      </vt:variant>
      <vt:variant>
        <vt:lpwstr>_Toc403988630</vt:lpwstr>
      </vt:variant>
      <vt:variant>
        <vt:i4>1310777</vt:i4>
      </vt:variant>
      <vt:variant>
        <vt:i4>104</vt:i4>
      </vt:variant>
      <vt:variant>
        <vt:i4>0</vt:i4>
      </vt:variant>
      <vt:variant>
        <vt:i4>5</vt:i4>
      </vt:variant>
      <vt:variant>
        <vt:lpwstr/>
      </vt:variant>
      <vt:variant>
        <vt:lpwstr>_Toc403988629</vt:lpwstr>
      </vt:variant>
      <vt:variant>
        <vt:i4>1310777</vt:i4>
      </vt:variant>
      <vt:variant>
        <vt:i4>98</vt:i4>
      </vt:variant>
      <vt:variant>
        <vt:i4>0</vt:i4>
      </vt:variant>
      <vt:variant>
        <vt:i4>5</vt:i4>
      </vt:variant>
      <vt:variant>
        <vt:lpwstr/>
      </vt:variant>
      <vt:variant>
        <vt:lpwstr>_Toc403988628</vt:lpwstr>
      </vt:variant>
      <vt:variant>
        <vt:i4>1310777</vt:i4>
      </vt:variant>
      <vt:variant>
        <vt:i4>92</vt:i4>
      </vt:variant>
      <vt:variant>
        <vt:i4>0</vt:i4>
      </vt:variant>
      <vt:variant>
        <vt:i4>5</vt:i4>
      </vt:variant>
      <vt:variant>
        <vt:lpwstr/>
      </vt:variant>
      <vt:variant>
        <vt:lpwstr>_Toc403988627</vt:lpwstr>
      </vt:variant>
      <vt:variant>
        <vt:i4>1310777</vt:i4>
      </vt:variant>
      <vt:variant>
        <vt:i4>86</vt:i4>
      </vt:variant>
      <vt:variant>
        <vt:i4>0</vt:i4>
      </vt:variant>
      <vt:variant>
        <vt:i4>5</vt:i4>
      </vt:variant>
      <vt:variant>
        <vt:lpwstr/>
      </vt:variant>
      <vt:variant>
        <vt:lpwstr>_Toc403988626</vt:lpwstr>
      </vt:variant>
      <vt:variant>
        <vt:i4>1310777</vt:i4>
      </vt:variant>
      <vt:variant>
        <vt:i4>80</vt:i4>
      </vt:variant>
      <vt:variant>
        <vt:i4>0</vt:i4>
      </vt:variant>
      <vt:variant>
        <vt:i4>5</vt:i4>
      </vt:variant>
      <vt:variant>
        <vt:lpwstr/>
      </vt:variant>
      <vt:variant>
        <vt:lpwstr>_Toc403988625</vt:lpwstr>
      </vt:variant>
      <vt:variant>
        <vt:i4>1310777</vt:i4>
      </vt:variant>
      <vt:variant>
        <vt:i4>74</vt:i4>
      </vt:variant>
      <vt:variant>
        <vt:i4>0</vt:i4>
      </vt:variant>
      <vt:variant>
        <vt:i4>5</vt:i4>
      </vt:variant>
      <vt:variant>
        <vt:lpwstr/>
      </vt:variant>
      <vt:variant>
        <vt:lpwstr>_Toc403988624</vt:lpwstr>
      </vt:variant>
      <vt:variant>
        <vt:i4>1310777</vt:i4>
      </vt:variant>
      <vt:variant>
        <vt:i4>68</vt:i4>
      </vt:variant>
      <vt:variant>
        <vt:i4>0</vt:i4>
      </vt:variant>
      <vt:variant>
        <vt:i4>5</vt:i4>
      </vt:variant>
      <vt:variant>
        <vt:lpwstr/>
      </vt:variant>
      <vt:variant>
        <vt:lpwstr>_Toc403988623</vt:lpwstr>
      </vt:variant>
      <vt:variant>
        <vt:i4>1310777</vt:i4>
      </vt:variant>
      <vt:variant>
        <vt:i4>62</vt:i4>
      </vt:variant>
      <vt:variant>
        <vt:i4>0</vt:i4>
      </vt:variant>
      <vt:variant>
        <vt:i4>5</vt:i4>
      </vt:variant>
      <vt:variant>
        <vt:lpwstr/>
      </vt:variant>
      <vt:variant>
        <vt:lpwstr>_Toc403988622</vt:lpwstr>
      </vt:variant>
      <vt:variant>
        <vt:i4>1310777</vt:i4>
      </vt:variant>
      <vt:variant>
        <vt:i4>56</vt:i4>
      </vt:variant>
      <vt:variant>
        <vt:i4>0</vt:i4>
      </vt:variant>
      <vt:variant>
        <vt:i4>5</vt:i4>
      </vt:variant>
      <vt:variant>
        <vt:lpwstr/>
      </vt:variant>
      <vt:variant>
        <vt:lpwstr>_Toc403988621</vt:lpwstr>
      </vt:variant>
      <vt:variant>
        <vt:i4>1310777</vt:i4>
      </vt:variant>
      <vt:variant>
        <vt:i4>50</vt:i4>
      </vt:variant>
      <vt:variant>
        <vt:i4>0</vt:i4>
      </vt:variant>
      <vt:variant>
        <vt:i4>5</vt:i4>
      </vt:variant>
      <vt:variant>
        <vt:lpwstr/>
      </vt:variant>
      <vt:variant>
        <vt:lpwstr>_Toc403988620</vt:lpwstr>
      </vt:variant>
      <vt:variant>
        <vt:i4>1507385</vt:i4>
      </vt:variant>
      <vt:variant>
        <vt:i4>44</vt:i4>
      </vt:variant>
      <vt:variant>
        <vt:i4>0</vt:i4>
      </vt:variant>
      <vt:variant>
        <vt:i4>5</vt:i4>
      </vt:variant>
      <vt:variant>
        <vt:lpwstr/>
      </vt:variant>
      <vt:variant>
        <vt:lpwstr>_Toc403988619</vt:lpwstr>
      </vt:variant>
      <vt:variant>
        <vt:i4>1507385</vt:i4>
      </vt:variant>
      <vt:variant>
        <vt:i4>38</vt:i4>
      </vt:variant>
      <vt:variant>
        <vt:i4>0</vt:i4>
      </vt:variant>
      <vt:variant>
        <vt:i4>5</vt:i4>
      </vt:variant>
      <vt:variant>
        <vt:lpwstr/>
      </vt:variant>
      <vt:variant>
        <vt:lpwstr>_Toc403988618</vt:lpwstr>
      </vt:variant>
      <vt:variant>
        <vt:i4>1507385</vt:i4>
      </vt:variant>
      <vt:variant>
        <vt:i4>32</vt:i4>
      </vt:variant>
      <vt:variant>
        <vt:i4>0</vt:i4>
      </vt:variant>
      <vt:variant>
        <vt:i4>5</vt:i4>
      </vt:variant>
      <vt:variant>
        <vt:lpwstr/>
      </vt:variant>
      <vt:variant>
        <vt:lpwstr>_Toc403988617</vt:lpwstr>
      </vt:variant>
      <vt:variant>
        <vt:i4>1507385</vt:i4>
      </vt:variant>
      <vt:variant>
        <vt:i4>26</vt:i4>
      </vt:variant>
      <vt:variant>
        <vt:i4>0</vt:i4>
      </vt:variant>
      <vt:variant>
        <vt:i4>5</vt:i4>
      </vt:variant>
      <vt:variant>
        <vt:lpwstr/>
      </vt:variant>
      <vt:variant>
        <vt:lpwstr>_Toc403988616</vt:lpwstr>
      </vt:variant>
      <vt:variant>
        <vt:i4>1507385</vt:i4>
      </vt:variant>
      <vt:variant>
        <vt:i4>20</vt:i4>
      </vt:variant>
      <vt:variant>
        <vt:i4>0</vt:i4>
      </vt:variant>
      <vt:variant>
        <vt:i4>5</vt:i4>
      </vt:variant>
      <vt:variant>
        <vt:lpwstr/>
      </vt:variant>
      <vt:variant>
        <vt:lpwstr>_Toc403988615</vt:lpwstr>
      </vt:variant>
      <vt:variant>
        <vt:i4>1507385</vt:i4>
      </vt:variant>
      <vt:variant>
        <vt:i4>14</vt:i4>
      </vt:variant>
      <vt:variant>
        <vt:i4>0</vt:i4>
      </vt:variant>
      <vt:variant>
        <vt:i4>5</vt:i4>
      </vt:variant>
      <vt:variant>
        <vt:lpwstr/>
      </vt:variant>
      <vt:variant>
        <vt:lpwstr>_Toc403988614</vt:lpwstr>
      </vt:variant>
      <vt:variant>
        <vt:i4>1507385</vt:i4>
      </vt:variant>
      <vt:variant>
        <vt:i4>8</vt:i4>
      </vt:variant>
      <vt:variant>
        <vt:i4>0</vt:i4>
      </vt:variant>
      <vt:variant>
        <vt:i4>5</vt:i4>
      </vt:variant>
      <vt:variant>
        <vt:lpwstr/>
      </vt:variant>
      <vt:variant>
        <vt:lpwstr>_Toc403988613</vt:lpwstr>
      </vt:variant>
      <vt:variant>
        <vt:i4>1507385</vt:i4>
      </vt:variant>
      <vt:variant>
        <vt:i4>2</vt:i4>
      </vt:variant>
      <vt:variant>
        <vt:i4>0</vt:i4>
      </vt:variant>
      <vt:variant>
        <vt:i4>5</vt:i4>
      </vt:variant>
      <vt:variant>
        <vt:lpwstr/>
      </vt:variant>
      <vt:variant>
        <vt:lpwstr>_Toc403988612</vt:lpwstr>
      </vt:variant>
      <vt:variant>
        <vt:i4>3145771</vt:i4>
      </vt:variant>
      <vt:variant>
        <vt:i4>6</vt:i4>
      </vt:variant>
      <vt:variant>
        <vt:i4>0</vt:i4>
      </vt:variant>
      <vt:variant>
        <vt:i4>5</vt:i4>
      </vt:variant>
      <vt:variant>
        <vt:lpwstr>http://www.catalystrx.com/worldbank</vt:lpwstr>
      </vt:variant>
      <vt:variant>
        <vt:lpwstr/>
      </vt:variant>
      <vt:variant>
        <vt:i4>4063279</vt:i4>
      </vt:variant>
      <vt:variant>
        <vt:i4>3</vt:i4>
      </vt:variant>
      <vt:variant>
        <vt:i4>0</vt:i4>
      </vt:variant>
      <vt:variant>
        <vt:i4>5</vt:i4>
      </vt:variant>
      <vt:variant>
        <vt:lpwstr>http://www.worldbank.org/humanresources</vt:lpwstr>
      </vt:variant>
      <vt:variant>
        <vt:lpwstr/>
      </vt:variant>
      <vt:variant>
        <vt:i4>2359417</vt:i4>
      </vt:variant>
      <vt:variant>
        <vt:i4>0</vt:i4>
      </vt:variant>
      <vt:variant>
        <vt:i4>0</vt:i4>
      </vt:variant>
      <vt:variant>
        <vt:i4>5</vt:i4>
      </vt:variant>
      <vt:variant>
        <vt:lpwstr>http://hrforms/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subject/>
  <dc:creator>WB14543</dc:creator>
  <cp:keywords/>
  <cp:lastModifiedBy>Samiha Sobhan</cp:lastModifiedBy>
  <cp:revision>4</cp:revision>
  <cp:lastPrinted>2019-06-07T13:21:00Z</cp:lastPrinted>
  <dcterms:created xsi:type="dcterms:W3CDTF">2019-06-07T13:21:00Z</dcterms:created>
  <dcterms:modified xsi:type="dcterms:W3CDTF">2019-06-07T13:22:00Z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