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90C5" w14:textId="77777777" w:rsidR="008917C6" w:rsidRPr="00DD4AAE" w:rsidRDefault="008917C6" w:rsidP="00565A2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color w:val="70AD47" w:themeColor="accent6"/>
          <w:sz w:val="40"/>
          <w:szCs w:val="40"/>
        </w:rPr>
      </w:pPr>
      <w:r>
        <w:rPr>
          <w:rFonts w:asciiTheme="minorHAnsi" w:hAnsiTheme="minorHAnsi"/>
          <w:bCs w:val="0"/>
          <w:color w:val="70AD47" w:themeColor="accent6"/>
          <w:sz w:val="40"/>
          <w:szCs w:val="40"/>
        </w:rPr>
        <w:t>MODÈLE</w:t>
      </w:r>
    </w:p>
    <w:p w14:paraId="6E389866" w14:textId="77777777" w:rsidR="003F3149" w:rsidRDefault="00565A25" w:rsidP="00565A2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sz w:val="32"/>
          <w:szCs w:val="32"/>
        </w:rPr>
      </w:pPr>
      <w:r>
        <w:rPr>
          <w:rFonts w:asciiTheme="minorHAnsi" w:hAnsiTheme="minorHAnsi"/>
          <w:bCs w:val="0"/>
          <w:sz w:val="32"/>
          <w:szCs w:val="32"/>
        </w:rPr>
        <w:t>PROCÉDURES DE GESTION DE LA MAIN-D’ŒUVRE</w:t>
      </w:r>
    </w:p>
    <w:p w14:paraId="0C3B8229" w14:textId="77777777" w:rsidR="00DD4AAE" w:rsidRDefault="00DD4AAE" w:rsidP="00DD4AAE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AAE" w14:paraId="31E8F12D" w14:textId="77777777" w:rsidTr="00DD4AAE">
        <w:tc>
          <w:tcPr>
            <w:tcW w:w="9350" w:type="dxa"/>
            <w:shd w:val="clear" w:color="auto" w:fill="E2EFD9" w:themeFill="accent6" w:themeFillTint="33"/>
          </w:tcPr>
          <w:p w14:paraId="3AC3F7C9" w14:textId="77777777" w:rsidR="0038109C" w:rsidRDefault="0038109C" w:rsidP="00DD4AA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4889A41" w14:textId="20035441" w:rsidR="00DD4AAE" w:rsidRDefault="00DD4AAE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Comment utiliser ce modèle</w:t>
            </w:r>
          </w:p>
          <w:p w14:paraId="5A00CC36" w14:textId="3129DF94" w:rsidR="00DD4AAE" w:rsidRPr="004563DA" w:rsidRDefault="00DD4AAE" w:rsidP="00DD4AAE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En vertu de la NES n</w:t>
            </w:r>
            <w:r>
              <w:rPr>
                <w:b/>
                <w:i/>
                <w:vertAlign w:val="superscript"/>
              </w:rPr>
              <w:t>o</w:t>
            </w:r>
            <w:r>
              <w:rPr>
                <w:b/>
                <w:i/>
              </w:rPr>
              <w:t xml:space="preserve"> 2 sur </w:t>
            </w:r>
            <w:r w:rsidR="005932C4">
              <w:rPr>
                <w:b/>
                <w:i/>
              </w:rPr>
              <w:t>l’</w:t>
            </w:r>
            <w:r>
              <w:rPr>
                <w:b/>
                <w:i/>
              </w:rPr>
              <w:t xml:space="preserve">Emploi et </w:t>
            </w:r>
            <w:r w:rsidR="005932C4">
              <w:rPr>
                <w:b/>
                <w:i/>
              </w:rPr>
              <w:t xml:space="preserve">les </w:t>
            </w:r>
            <w:r>
              <w:rPr>
                <w:b/>
                <w:i/>
              </w:rPr>
              <w:t xml:space="preserve">conditions de travail, les </w:t>
            </w:r>
            <w:r w:rsidR="00B40841">
              <w:rPr>
                <w:b/>
                <w:i/>
              </w:rPr>
              <w:t xml:space="preserve">Emprunteurs </w:t>
            </w:r>
            <w:r>
              <w:rPr>
                <w:b/>
                <w:i/>
              </w:rPr>
              <w:t xml:space="preserve">sont tenus d’élaborer des procédures de gestion de la main-d’œuvre. Ces procédures ont pour </w:t>
            </w:r>
            <w:r w:rsidR="007D3261">
              <w:rPr>
                <w:b/>
                <w:i/>
              </w:rPr>
              <w:t xml:space="preserve">objet </w:t>
            </w:r>
            <w:r>
              <w:rPr>
                <w:b/>
                <w:i/>
              </w:rPr>
              <w:t xml:space="preserve">de faciliter la planification et la mise en œuvre du projet. Elles </w:t>
            </w:r>
            <w:r w:rsidR="007D3261">
              <w:rPr>
                <w:b/>
                <w:i/>
              </w:rPr>
              <w:t xml:space="preserve">permettent de déterminer </w:t>
            </w:r>
            <w:r>
              <w:rPr>
                <w:b/>
                <w:i/>
              </w:rPr>
              <w:t xml:space="preserve">les besoins </w:t>
            </w:r>
            <w:r w:rsidR="006A22BE">
              <w:rPr>
                <w:b/>
                <w:i/>
              </w:rPr>
              <w:t>de</w:t>
            </w:r>
            <w:r w:rsidR="00B40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main-d’œuvre et les risques associés au projet, et aident l’Emprunteur à </w:t>
            </w:r>
            <w:r w:rsidR="00B40841">
              <w:rPr>
                <w:b/>
                <w:i/>
              </w:rPr>
              <w:t xml:space="preserve">évaluer </w:t>
            </w:r>
            <w:r>
              <w:rPr>
                <w:b/>
                <w:i/>
              </w:rPr>
              <w:t xml:space="preserve">les ressources nécessaires pour </w:t>
            </w:r>
            <w:r w:rsidR="003B48E4">
              <w:rPr>
                <w:b/>
                <w:i/>
              </w:rPr>
              <w:t xml:space="preserve">résoudre </w:t>
            </w:r>
            <w:r w:rsidR="003F31F1">
              <w:rPr>
                <w:b/>
                <w:i/>
              </w:rPr>
              <w:t xml:space="preserve">d’éventuels </w:t>
            </w:r>
            <w:r>
              <w:rPr>
                <w:b/>
                <w:i/>
              </w:rPr>
              <w:t xml:space="preserve">problèmes </w:t>
            </w:r>
            <w:r w:rsidR="003F31F1">
              <w:rPr>
                <w:b/>
                <w:i/>
              </w:rPr>
              <w:t xml:space="preserve">de </w:t>
            </w:r>
            <w:r>
              <w:rPr>
                <w:b/>
                <w:i/>
              </w:rPr>
              <w:t>main-</w:t>
            </w:r>
            <w:r w:rsidR="004523AB">
              <w:rPr>
                <w:b/>
                <w:i/>
              </w:rPr>
              <w:t xml:space="preserve">d’œuvre </w:t>
            </w:r>
            <w:r w:rsidR="006A22BE">
              <w:rPr>
                <w:b/>
                <w:i/>
              </w:rPr>
              <w:t>liés au projet</w:t>
            </w:r>
            <w:r>
              <w:rPr>
                <w:b/>
                <w:i/>
              </w:rPr>
              <w:t xml:space="preserve">. </w:t>
            </w:r>
            <w:r w:rsidR="00737896">
              <w:rPr>
                <w:b/>
                <w:i/>
              </w:rPr>
              <w:t xml:space="preserve">Elles constituent </w:t>
            </w:r>
            <w:r>
              <w:rPr>
                <w:b/>
                <w:i/>
              </w:rPr>
              <w:t>un document vivant</w:t>
            </w:r>
            <w:r w:rsidR="0073789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établi </w:t>
            </w:r>
            <w:r w:rsidR="00B40841">
              <w:rPr>
                <w:b/>
                <w:i/>
              </w:rPr>
              <w:t xml:space="preserve">au tout </w:t>
            </w:r>
            <w:r>
              <w:rPr>
                <w:b/>
                <w:i/>
              </w:rPr>
              <w:t xml:space="preserve">début de la préparation du projet, </w:t>
            </w:r>
            <w:r w:rsidR="00B40841">
              <w:rPr>
                <w:b/>
                <w:i/>
              </w:rPr>
              <w:t xml:space="preserve">et </w:t>
            </w:r>
            <w:r w:rsidR="00737896">
              <w:rPr>
                <w:b/>
                <w:i/>
              </w:rPr>
              <w:t xml:space="preserve">qui </w:t>
            </w:r>
            <w:r>
              <w:rPr>
                <w:b/>
                <w:i/>
              </w:rPr>
              <w:t>est réexaminé et mis à jour</w:t>
            </w:r>
            <w:r w:rsidR="00B40841">
              <w:rPr>
                <w:b/>
                <w:i/>
              </w:rPr>
              <w:t xml:space="preserve"> au fur et à mesure</w:t>
            </w:r>
            <w:r w:rsidR="00737896"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l’élaboration et la mise en œuvre d</w:t>
            </w:r>
            <w:r w:rsidR="003B48E4">
              <w:rPr>
                <w:b/>
                <w:i/>
              </w:rPr>
              <w:t>e celui-ci</w:t>
            </w:r>
            <w:r>
              <w:rPr>
                <w:b/>
                <w:i/>
              </w:rPr>
              <w:t>.</w:t>
            </w:r>
          </w:p>
          <w:p w14:paraId="6BA7115A" w14:textId="26AAB2CD" w:rsidR="00761EF7" w:rsidRDefault="00DD4AAE" w:rsidP="00DD4AAE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Le présent modèle est conçu pour aider les </w:t>
            </w:r>
            <w:r w:rsidR="00102687">
              <w:rPr>
                <w:b/>
                <w:i/>
              </w:rPr>
              <w:t xml:space="preserve">Emprunteurs </w:t>
            </w:r>
            <w:r>
              <w:rPr>
                <w:b/>
                <w:i/>
              </w:rPr>
              <w:t xml:space="preserve">à </w:t>
            </w:r>
            <w:r w:rsidR="00B40841">
              <w:rPr>
                <w:b/>
                <w:i/>
              </w:rPr>
              <w:t xml:space="preserve">déterminer </w:t>
            </w:r>
            <w:r>
              <w:rPr>
                <w:b/>
                <w:i/>
              </w:rPr>
              <w:t xml:space="preserve">les </w:t>
            </w:r>
            <w:r w:rsidR="00737896">
              <w:rPr>
                <w:b/>
                <w:i/>
              </w:rPr>
              <w:t xml:space="preserve">principaux </w:t>
            </w:r>
            <w:r w:rsidR="003F31F1">
              <w:rPr>
                <w:b/>
                <w:i/>
              </w:rPr>
              <w:t xml:space="preserve">éléments </w:t>
            </w:r>
            <w:r>
              <w:rPr>
                <w:b/>
                <w:i/>
              </w:rPr>
              <w:t xml:space="preserve">de planification et gestion de la main-d’œuvre. </w:t>
            </w:r>
            <w:r w:rsidR="003F31F1">
              <w:rPr>
                <w:b/>
                <w:i/>
              </w:rPr>
              <w:t>Il n’est fourni qu’à titre indicatif</w:t>
            </w:r>
            <w:r>
              <w:rPr>
                <w:b/>
                <w:i/>
              </w:rPr>
              <w:t xml:space="preserve"> : </w:t>
            </w:r>
            <w:r w:rsidR="00737896">
              <w:rPr>
                <w:b/>
                <w:i/>
              </w:rPr>
              <w:t xml:space="preserve">en effet, </w:t>
            </w:r>
            <w:r w:rsidR="003F31F1">
              <w:rPr>
                <w:b/>
                <w:i/>
              </w:rPr>
              <w:t xml:space="preserve">si </w:t>
            </w:r>
            <w:r>
              <w:rPr>
                <w:b/>
                <w:i/>
              </w:rPr>
              <w:t xml:space="preserve">les questions abordées sont pertinentes pour un projet, les </w:t>
            </w:r>
            <w:r w:rsidR="003F31F1">
              <w:rPr>
                <w:b/>
                <w:i/>
              </w:rPr>
              <w:t xml:space="preserve">Emprunteurs </w:t>
            </w:r>
            <w:r>
              <w:rPr>
                <w:b/>
                <w:i/>
              </w:rPr>
              <w:t xml:space="preserve">devraient en tenir compte dans </w:t>
            </w:r>
            <w:r w:rsidR="00737896">
              <w:rPr>
                <w:b/>
                <w:i/>
              </w:rPr>
              <w:t>les</w:t>
            </w:r>
            <w:r>
              <w:rPr>
                <w:b/>
                <w:i/>
              </w:rPr>
              <w:t xml:space="preserve"> procédures de gestion de la main-d’œuvre. </w:t>
            </w:r>
            <w:r w:rsidR="00737896">
              <w:rPr>
                <w:b/>
                <w:i/>
              </w:rPr>
              <w:t>Cependant, i</w:t>
            </w:r>
            <w:r>
              <w:rPr>
                <w:b/>
                <w:i/>
              </w:rPr>
              <w:t xml:space="preserve">l </w:t>
            </w:r>
            <w:r w:rsidR="00737896">
              <w:rPr>
                <w:b/>
                <w:i/>
              </w:rPr>
              <w:t xml:space="preserve">peut arriver </w:t>
            </w:r>
            <w:r>
              <w:rPr>
                <w:b/>
                <w:i/>
              </w:rPr>
              <w:t>que certaines questions abordées ici ne s</w:t>
            </w:r>
            <w:r w:rsidR="003B48E4">
              <w:rPr>
                <w:b/>
                <w:i/>
              </w:rPr>
              <w:t>’appliquent pas au projet</w:t>
            </w:r>
            <w:r w:rsidR="003F31F1">
              <w:rPr>
                <w:b/>
                <w:i/>
              </w:rPr>
              <w:t xml:space="preserve"> ; par contre, </w:t>
            </w:r>
            <w:r>
              <w:rPr>
                <w:b/>
                <w:i/>
              </w:rPr>
              <w:t>certains</w:t>
            </w:r>
            <w:r w:rsidR="003B48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projets peuvent rencontrer d’autres problèmes qu</w:t>
            </w:r>
            <w:r w:rsidR="007455F5">
              <w:rPr>
                <w:b/>
                <w:i/>
              </w:rPr>
              <w:t xml:space="preserve">’il faudra prendre </w:t>
            </w:r>
            <w:r>
              <w:rPr>
                <w:b/>
                <w:i/>
              </w:rPr>
              <w:t xml:space="preserve">en compte à des fins de planification. Lorsque le droit national </w:t>
            </w:r>
            <w:r w:rsidR="007D3261">
              <w:rPr>
                <w:b/>
                <w:i/>
              </w:rPr>
              <w:t>intègre</w:t>
            </w:r>
            <w:r w:rsidR="0073789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des dispositions</w:t>
            </w:r>
            <w:r w:rsidR="00640B7C">
              <w:rPr>
                <w:b/>
                <w:i/>
              </w:rPr>
              <w:t xml:space="preserve"> </w:t>
            </w:r>
            <w:r w:rsidR="00737896">
              <w:rPr>
                <w:b/>
                <w:i/>
              </w:rPr>
              <w:t>de</w:t>
            </w:r>
            <w:r w:rsidR="00640B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 NES n</w:t>
            </w:r>
            <w:r>
              <w:rPr>
                <w:b/>
                <w:i/>
                <w:vertAlign w:val="superscript"/>
              </w:rPr>
              <w:t>o</w:t>
            </w:r>
            <w:r>
              <w:rPr>
                <w:b/>
                <w:i/>
              </w:rPr>
              <w:t xml:space="preserve"> 2, les procédures de gestion de la main-d’œuvre </w:t>
            </w:r>
            <w:r w:rsidR="007D3261">
              <w:rPr>
                <w:b/>
                <w:i/>
              </w:rPr>
              <w:t xml:space="preserve">peuvent y faire référence </w:t>
            </w:r>
            <w:r>
              <w:rPr>
                <w:b/>
                <w:i/>
              </w:rPr>
              <w:t xml:space="preserve">sans qu’il soit nécessaire de </w:t>
            </w:r>
            <w:r w:rsidR="003B48E4">
              <w:rPr>
                <w:b/>
                <w:i/>
              </w:rPr>
              <w:t xml:space="preserve">les </w:t>
            </w:r>
            <w:r>
              <w:rPr>
                <w:b/>
                <w:i/>
              </w:rPr>
              <w:t xml:space="preserve">reprendre. </w:t>
            </w:r>
            <w:r w:rsidR="003F31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Les procédures de gestion de la main-d’œuvre peuvent être </w:t>
            </w:r>
            <w:r w:rsidR="003F31F1">
              <w:rPr>
                <w:b/>
                <w:i/>
              </w:rPr>
              <w:t>consignées dans</w:t>
            </w:r>
            <w:r>
              <w:rPr>
                <w:b/>
                <w:i/>
              </w:rPr>
              <w:t xml:space="preserve"> un document autonome ou être intégrées directement dans d’autres documents de gestion environnementale et sociale.</w:t>
            </w:r>
          </w:p>
          <w:p w14:paraId="03518C74" w14:textId="7D9A369D" w:rsidR="00DD4AAE" w:rsidRPr="004563DA" w:rsidRDefault="00490C2F" w:rsidP="00DD4AAE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Des procédures concises et à jour permettront aux différentes parties prenantes d’un projet, par exemple le personnel de l’unité d’exécution du projet, les fournisseurs et prestataires </w:t>
            </w:r>
            <w:r w:rsidR="0038109C">
              <w:rPr>
                <w:b/>
                <w:i/>
              </w:rPr>
              <w:t xml:space="preserve">ainsi que </w:t>
            </w:r>
            <w:r>
              <w:rPr>
                <w:b/>
                <w:i/>
              </w:rPr>
              <w:t xml:space="preserve">les sous-traitants </w:t>
            </w:r>
            <w:r w:rsidR="0038109C">
              <w:rPr>
                <w:b/>
                <w:i/>
              </w:rPr>
              <w:t>et</w:t>
            </w:r>
            <w:r>
              <w:rPr>
                <w:b/>
                <w:i/>
              </w:rPr>
              <w:t xml:space="preserve"> les travailleurs du projet, de se faire une idée claire des dispositions à prendre concernant une question particulière relative à la main-d’œuvre. Le niveau de détail indiqué dépendra de la nature du projet et des informations disponibles. Lorsque </w:t>
            </w:r>
            <w:r w:rsidR="003F31F1">
              <w:rPr>
                <w:b/>
                <w:i/>
              </w:rPr>
              <w:t xml:space="preserve">des </w:t>
            </w:r>
            <w:r>
              <w:rPr>
                <w:b/>
                <w:i/>
              </w:rPr>
              <w:t xml:space="preserve">informations pertinentes ne sont pas disponibles, cela devrait être indiqué et les procédures mises à jour aussitôt que possible. </w:t>
            </w:r>
          </w:p>
          <w:p w14:paraId="6A860133" w14:textId="202E2491" w:rsidR="00DD4AAE" w:rsidRPr="00761EF7" w:rsidRDefault="00DD4AAE" w:rsidP="00761EF7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 xml:space="preserve">Pour préparer et mettre à jour les procédures de gestion de la main-d’œuvre, les </w:t>
            </w:r>
            <w:r w:rsidR="00B26838">
              <w:rPr>
                <w:b/>
                <w:i/>
              </w:rPr>
              <w:t xml:space="preserve">Emprunteurs </w:t>
            </w:r>
            <w:r>
              <w:rPr>
                <w:b/>
                <w:i/>
              </w:rPr>
              <w:t>se réfèrent aux dispositions du droit national et de la NES n</w:t>
            </w:r>
            <w:r w:rsidRPr="0038109C">
              <w:rPr>
                <w:b/>
                <w:i/>
                <w:vertAlign w:val="superscript"/>
              </w:rPr>
              <w:t>o</w:t>
            </w:r>
            <w:r>
              <w:rPr>
                <w:b/>
                <w:i/>
              </w:rPr>
              <w:t xml:space="preserve"> 2 ainsi qu’à la Note d’orientation </w:t>
            </w:r>
            <w:r w:rsidR="007455F5">
              <w:rPr>
                <w:b/>
                <w:i/>
              </w:rPr>
              <w:t>correspondante</w:t>
            </w:r>
            <w:r>
              <w:rPr>
                <w:b/>
                <w:i/>
              </w:rPr>
              <w:t xml:space="preserve">. </w:t>
            </w:r>
            <w:r w:rsidR="007455F5">
              <w:rPr>
                <w:b/>
                <w:i/>
              </w:rPr>
              <w:t>C</w:t>
            </w:r>
            <w:r>
              <w:rPr>
                <w:b/>
                <w:i/>
              </w:rPr>
              <w:t xml:space="preserve">e modèle </w:t>
            </w:r>
            <w:r w:rsidR="0038109C">
              <w:rPr>
                <w:b/>
                <w:i/>
              </w:rPr>
              <w:t xml:space="preserve">fait </w:t>
            </w:r>
            <w:r>
              <w:rPr>
                <w:b/>
                <w:i/>
              </w:rPr>
              <w:t>référence</w:t>
            </w:r>
            <w:r w:rsidR="0038109C">
              <w:rPr>
                <w:b/>
                <w:i/>
              </w:rPr>
              <w:t xml:space="preserve"> à la fois </w:t>
            </w:r>
            <w:r>
              <w:rPr>
                <w:b/>
                <w:i/>
              </w:rPr>
              <w:t>à la NES n</w:t>
            </w:r>
            <w:r w:rsidRPr="0038109C">
              <w:rPr>
                <w:b/>
                <w:i/>
                <w:vertAlign w:val="superscript"/>
              </w:rPr>
              <w:t>o</w:t>
            </w:r>
            <w:r>
              <w:rPr>
                <w:b/>
                <w:i/>
              </w:rPr>
              <w:t> 2 et à la Note d</w:t>
            </w:r>
            <w:r w:rsidR="00640B7C">
              <w:rPr>
                <w:b/>
                <w:i/>
              </w:rPr>
              <w:t>’</w:t>
            </w:r>
            <w:r>
              <w:rPr>
                <w:b/>
                <w:i/>
              </w:rPr>
              <w:t>orientation.</w:t>
            </w:r>
          </w:p>
        </w:tc>
      </w:tr>
    </w:tbl>
    <w:p w14:paraId="4A0C6729" w14:textId="77777777" w:rsidR="003F3149" w:rsidRDefault="008C384C" w:rsidP="003F3149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GÉNÉRALITÉS SUR L’UTILISATION DE LA MAIN-D’ŒUVRE DANS LE CADRE DU PROJET</w:t>
      </w:r>
    </w:p>
    <w:p w14:paraId="58DE5D98" w14:textId="77777777" w:rsidR="00565A25" w:rsidRPr="005436F3" w:rsidRDefault="005436F3" w:rsidP="00565A25">
      <w:pPr>
        <w:spacing w:after="0"/>
        <w:rPr>
          <w:color w:val="000000"/>
        </w:rPr>
      </w:pPr>
      <w:r>
        <w:rPr>
          <w:color w:val="000000"/>
        </w:rPr>
        <w:t>La présente section décrit ce qui suit, sur la base des informations disponibles :</w:t>
      </w:r>
    </w:p>
    <w:p w14:paraId="65B977EB" w14:textId="77777777" w:rsidR="00565A25" w:rsidRPr="00565A25" w:rsidRDefault="00565A25" w:rsidP="00565A25">
      <w:pPr>
        <w:spacing w:after="0"/>
      </w:pPr>
    </w:p>
    <w:p w14:paraId="173A5B33" w14:textId="28A88C82" w:rsidR="00270F82" w:rsidRDefault="00531A30" w:rsidP="00153A84">
      <w:pPr>
        <w:spacing w:after="0"/>
        <w:jc w:val="both"/>
        <w:rPr>
          <w:color w:val="000000"/>
        </w:rPr>
      </w:pPr>
      <w:r>
        <w:rPr>
          <w:b/>
          <w:i/>
          <w:color w:val="000000"/>
        </w:rPr>
        <w:t>Effectif</w:t>
      </w:r>
      <w:r w:rsidR="00145AC7">
        <w:rPr>
          <w:b/>
          <w:i/>
          <w:color w:val="000000"/>
        </w:rPr>
        <w:t>s</w:t>
      </w:r>
      <w:r>
        <w:rPr>
          <w:b/>
          <w:i/>
          <w:color w:val="000000"/>
        </w:rPr>
        <w:t xml:space="preserve"> de travailleurs du projet :</w:t>
      </w:r>
      <w:r>
        <w:rPr>
          <w:color w:val="000000"/>
        </w:rPr>
        <w:t xml:space="preserve"> </w:t>
      </w:r>
      <w:r w:rsidR="00145AC7">
        <w:rPr>
          <w:color w:val="000000"/>
        </w:rPr>
        <w:t xml:space="preserve">Indiquer </w:t>
      </w:r>
      <w:r>
        <w:rPr>
          <w:color w:val="000000"/>
        </w:rPr>
        <w:t>le nombre total de personnes devant être employées sur le projet, et les différents types de travailleurs : directs, contractuels et communautaires</w:t>
      </w:r>
      <w:r w:rsidR="00145AC7">
        <w:rPr>
          <w:color w:val="000000"/>
        </w:rPr>
        <w:t>.</w:t>
      </w:r>
      <w:r>
        <w:rPr>
          <w:color w:val="000000"/>
        </w:rPr>
        <w:t xml:space="preserve"> Lorsque les effectifs ne sont pas encore arrêtés, une estimation devrait être fournie. </w:t>
      </w:r>
    </w:p>
    <w:p w14:paraId="34C96B6D" w14:textId="77777777" w:rsidR="00531A30" w:rsidRPr="00270F82" w:rsidRDefault="00531A30" w:rsidP="00153A84">
      <w:pPr>
        <w:spacing w:after="0"/>
        <w:jc w:val="both"/>
      </w:pPr>
    </w:p>
    <w:p w14:paraId="2E2AFB68" w14:textId="376ECA40" w:rsidR="003F3149" w:rsidRDefault="00531A30" w:rsidP="00153A84">
      <w:pPr>
        <w:spacing w:after="0"/>
        <w:jc w:val="both"/>
        <w:rPr>
          <w:color w:val="000000"/>
        </w:rPr>
      </w:pPr>
      <w:r>
        <w:rPr>
          <w:b/>
          <w:i/>
          <w:color w:val="000000"/>
        </w:rPr>
        <w:t>Caractéristiques des travailleurs du projet :</w:t>
      </w:r>
      <w:r>
        <w:rPr>
          <w:color w:val="000000"/>
        </w:rPr>
        <w:t xml:space="preserve"> Dans la mesure du possible, faire une description générale et donner une indication des caractéristiques probables des travailleurs du projet : p. ex. travailleurs locaux, travailleurs migrants nationaux ou étrangers, femmes, travailleurs ayant dépassé l’âge minimum</w:t>
      </w:r>
      <w:r w:rsidR="0001768C">
        <w:rPr>
          <w:color w:val="000000"/>
        </w:rPr>
        <w:t>,</w:t>
      </w:r>
      <w:r>
        <w:rPr>
          <w:color w:val="000000"/>
        </w:rPr>
        <w:t xml:space="preserve"> mais n’ayant pas encore atteint 18 ans.</w:t>
      </w:r>
    </w:p>
    <w:p w14:paraId="41FB9135" w14:textId="77777777" w:rsidR="00531A30" w:rsidRDefault="00531A30" w:rsidP="00153A84">
      <w:pPr>
        <w:spacing w:after="0"/>
        <w:jc w:val="both"/>
      </w:pPr>
    </w:p>
    <w:p w14:paraId="6AFE8295" w14:textId="3051DBEF" w:rsidR="000B70CA" w:rsidRDefault="00531A30" w:rsidP="00153A84">
      <w:pPr>
        <w:spacing w:after="0"/>
        <w:jc w:val="both"/>
      </w:pPr>
      <w:r>
        <w:rPr>
          <w:b/>
          <w:i/>
          <w:color w:val="000000"/>
        </w:rPr>
        <w:t xml:space="preserve">Délais de couverture des besoins </w:t>
      </w:r>
      <w:r w:rsidR="00145AC7">
        <w:rPr>
          <w:b/>
          <w:i/>
          <w:color w:val="000000"/>
        </w:rPr>
        <w:t xml:space="preserve">de </w:t>
      </w:r>
      <w:r>
        <w:rPr>
          <w:b/>
          <w:i/>
          <w:color w:val="000000"/>
        </w:rPr>
        <w:t>main-d’œuvre :</w:t>
      </w:r>
      <w:r>
        <w:rPr>
          <w:color w:val="000000"/>
        </w:rPr>
        <w:t xml:space="preserve"> </w:t>
      </w:r>
      <w:r w:rsidR="00145AC7">
        <w:t xml:space="preserve">Indiquer </w:t>
      </w:r>
      <w:r>
        <w:t xml:space="preserve">les délais et l’ordre de couverture des besoins </w:t>
      </w:r>
      <w:r w:rsidR="00145AC7">
        <w:t xml:space="preserve">de </w:t>
      </w:r>
      <w:r>
        <w:t>main-d’œuvre en termes d’effectifs, d</w:t>
      </w:r>
      <w:r w:rsidR="00145AC7">
        <w:t>e lieu</w:t>
      </w:r>
      <w:r w:rsidR="0001768C">
        <w:t>x</w:t>
      </w:r>
      <w:r w:rsidR="00145AC7">
        <w:t xml:space="preserve"> d’affectation</w:t>
      </w:r>
      <w:r>
        <w:t>, de types d’emplois et de compétences requis</w:t>
      </w:r>
      <w:r w:rsidR="00145AC7">
        <w:t>es</w:t>
      </w:r>
      <w:r>
        <w:t>.</w:t>
      </w:r>
    </w:p>
    <w:p w14:paraId="40E47049" w14:textId="77777777" w:rsidR="000B70CA" w:rsidRDefault="000B70CA" w:rsidP="00153A84">
      <w:pPr>
        <w:spacing w:after="0"/>
        <w:jc w:val="both"/>
      </w:pPr>
    </w:p>
    <w:p w14:paraId="16B47890" w14:textId="400D4E95" w:rsidR="003F3149" w:rsidRPr="003C4179" w:rsidRDefault="003C4179" w:rsidP="00153A84">
      <w:pPr>
        <w:spacing w:after="0"/>
        <w:jc w:val="both"/>
        <w:rPr>
          <w:color w:val="000000"/>
        </w:rPr>
      </w:pPr>
      <w:r>
        <w:rPr>
          <w:b/>
          <w:i/>
        </w:rPr>
        <w:t>Travailleurs contractuels :</w:t>
      </w:r>
      <w:r>
        <w:t xml:space="preserve"> </w:t>
      </w:r>
      <w:r>
        <w:rPr>
          <w:color w:val="000000"/>
        </w:rPr>
        <w:t>Dé</w:t>
      </w:r>
      <w:r w:rsidR="00640B7C">
        <w:rPr>
          <w:color w:val="000000"/>
        </w:rPr>
        <w:t xml:space="preserve">crire </w:t>
      </w:r>
      <w:r>
        <w:rPr>
          <w:color w:val="000000"/>
        </w:rPr>
        <w:t>l’organisation contractuelle envisagée ou connue pour le projet, accompagnée du nombre et d</w:t>
      </w:r>
      <w:r w:rsidR="0001768C">
        <w:rPr>
          <w:color w:val="000000"/>
        </w:rPr>
        <w:t xml:space="preserve">u type de </w:t>
      </w:r>
      <w:r>
        <w:rPr>
          <w:color w:val="000000"/>
        </w:rPr>
        <w:t xml:space="preserve">fournisseurs/prestataires et sous-traitants ainsi que du nombre probable de personnes qui seront employées ou engagées par chaque fournisseur/prestataire ou sous-traitant. </w:t>
      </w:r>
      <w:r w:rsidR="0015135B">
        <w:rPr>
          <w:color w:val="000000"/>
        </w:rPr>
        <w:t>S</w:t>
      </w:r>
      <w:r w:rsidR="0001768C">
        <w:rPr>
          <w:color w:val="000000"/>
        </w:rPr>
        <w:t xml:space="preserve">i l’on </w:t>
      </w:r>
      <w:r w:rsidR="009716E8">
        <w:rPr>
          <w:color w:val="000000"/>
        </w:rPr>
        <w:t xml:space="preserve">s’attend à ce </w:t>
      </w:r>
      <w:r>
        <w:rPr>
          <w:color w:val="000000"/>
        </w:rPr>
        <w:t xml:space="preserve">que </w:t>
      </w:r>
      <w:r w:rsidR="00D017F8">
        <w:rPr>
          <w:color w:val="000000"/>
        </w:rPr>
        <w:t xml:space="preserve">des </w:t>
      </w:r>
      <w:r>
        <w:rPr>
          <w:color w:val="000000"/>
        </w:rPr>
        <w:t xml:space="preserve">travailleurs du projet </w:t>
      </w:r>
      <w:r w:rsidR="009716E8">
        <w:rPr>
          <w:color w:val="000000"/>
        </w:rPr>
        <w:t xml:space="preserve">soient </w:t>
      </w:r>
      <w:r w:rsidR="00D017F8">
        <w:rPr>
          <w:color w:val="000000"/>
        </w:rPr>
        <w:t xml:space="preserve">engagés </w:t>
      </w:r>
      <w:r>
        <w:rPr>
          <w:color w:val="000000"/>
        </w:rPr>
        <w:t xml:space="preserve">par des négociants, des intermédiaires ou des agents, cela devrait être indiqué en même temps qu’une estimation du nombre de </w:t>
      </w:r>
      <w:r w:rsidR="00D017F8">
        <w:rPr>
          <w:color w:val="000000"/>
        </w:rPr>
        <w:t xml:space="preserve">personnes </w:t>
      </w:r>
      <w:r>
        <w:rPr>
          <w:color w:val="000000"/>
        </w:rPr>
        <w:t>qu</w:t>
      </w:r>
      <w:r w:rsidR="00D017F8">
        <w:rPr>
          <w:color w:val="000000"/>
        </w:rPr>
        <w:t xml:space="preserve">i devraient </w:t>
      </w:r>
      <w:r>
        <w:rPr>
          <w:color w:val="000000"/>
        </w:rPr>
        <w:t>être recruté</w:t>
      </w:r>
      <w:r w:rsidR="00D017F8">
        <w:rPr>
          <w:color w:val="000000"/>
        </w:rPr>
        <w:t>e</w:t>
      </w:r>
      <w:r w:rsidR="00640B7C">
        <w:rPr>
          <w:color w:val="000000"/>
        </w:rPr>
        <w:t>s</w:t>
      </w:r>
      <w:r>
        <w:rPr>
          <w:color w:val="000000"/>
        </w:rPr>
        <w:t xml:space="preserve"> de cette manière.</w:t>
      </w:r>
    </w:p>
    <w:p w14:paraId="2481F033" w14:textId="77777777" w:rsidR="000B70CA" w:rsidRDefault="000B70CA" w:rsidP="00153A84">
      <w:pPr>
        <w:spacing w:after="0"/>
        <w:jc w:val="both"/>
        <w:rPr>
          <w:color w:val="000000"/>
        </w:rPr>
      </w:pPr>
    </w:p>
    <w:p w14:paraId="27E89DBC" w14:textId="71537A68" w:rsidR="003F3149" w:rsidRDefault="000B70CA" w:rsidP="00153A84">
      <w:pPr>
        <w:spacing w:after="0"/>
        <w:jc w:val="both"/>
      </w:pPr>
      <w:r>
        <w:rPr>
          <w:b/>
          <w:i/>
          <w:color w:val="000000"/>
        </w:rPr>
        <w:t>Travailleurs migrants :</w:t>
      </w:r>
      <w:r>
        <w:rPr>
          <w:color w:val="000000"/>
        </w:rPr>
        <w:t xml:space="preserve"> </w:t>
      </w:r>
      <w:r w:rsidR="00D017F8">
        <w:rPr>
          <w:color w:val="000000"/>
        </w:rPr>
        <w:t>S</w:t>
      </w:r>
      <w:r w:rsidR="0001768C">
        <w:rPr>
          <w:color w:val="000000"/>
        </w:rPr>
        <w:t xml:space="preserve">i l’on </w:t>
      </w:r>
      <w:r w:rsidR="009716E8">
        <w:rPr>
          <w:color w:val="000000"/>
        </w:rPr>
        <w:t xml:space="preserve">s’attend à ce </w:t>
      </w:r>
      <w:r>
        <w:rPr>
          <w:color w:val="000000"/>
        </w:rPr>
        <w:t>que des migrants (nationaux ou étrangers) travaillent sur le projet, cela doit être indiqué et des détails correspondants fournis.</w:t>
      </w:r>
    </w:p>
    <w:p w14:paraId="21F7FA88" w14:textId="77777777" w:rsidR="003F3149" w:rsidRDefault="003F3149" w:rsidP="00153A84">
      <w:pPr>
        <w:spacing w:after="0"/>
        <w:jc w:val="both"/>
      </w:pPr>
    </w:p>
    <w:p w14:paraId="415306F4" w14:textId="2A8BED75" w:rsidR="001D0D7A" w:rsidRDefault="00E960C9" w:rsidP="00153A84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ÉVALUATION DES PRINCIPAUX RISQUES </w:t>
      </w:r>
      <w:r w:rsidR="00102687">
        <w:rPr>
          <w:rFonts w:asciiTheme="minorHAnsi" w:hAnsiTheme="minorHAnsi"/>
        </w:rPr>
        <w:t>LIÉS À</w:t>
      </w:r>
      <w:r>
        <w:rPr>
          <w:rFonts w:asciiTheme="minorHAnsi" w:hAnsiTheme="minorHAnsi"/>
        </w:rPr>
        <w:t xml:space="preserve"> LA MAIN-D’ŒUVRE</w:t>
      </w:r>
    </w:p>
    <w:p w14:paraId="293E866C" w14:textId="77777777" w:rsidR="001D0D7A" w:rsidRDefault="005436F3" w:rsidP="00951861">
      <w:pPr>
        <w:spacing w:after="0"/>
        <w:jc w:val="both"/>
        <w:rPr>
          <w:color w:val="000000"/>
        </w:rPr>
      </w:pPr>
      <w:r>
        <w:rPr>
          <w:color w:val="000000"/>
        </w:rPr>
        <w:t>La présente section décrit ce qui suit, sur la base des informations disponibles :</w:t>
      </w:r>
    </w:p>
    <w:p w14:paraId="5EB7B785" w14:textId="77777777" w:rsidR="001D0D7A" w:rsidRDefault="001D0D7A" w:rsidP="00951861">
      <w:pPr>
        <w:spacing w:after="0"/>
        <w:jc w:val="both"/>
        <w:rPr>
          <w:color w:val="000000"/>
        </w:rPr>
      </w:pPr>
    </w:p>
    <w:p w14:paraId="490864CC" w14:textId="7E70DDFC" w:rsidR="001D0D7A" w:rsidRDefault="001D0D7A" w:rsidP="00951861">
      <w:pPr>
        <w:spacing w:after="0"/>
        <w:jc w:val="both"/>
        <w:rPr>
          <w:color w:val="000000"/>
        </w:rPr>
      </w:pPr>
      <w:r>
        <w:rPr>
          <w:b/>
          <w:i/>
          <w:color w:val="000000"/>
        </w:rPr>
        <w:t>Activités du projet :</w:t>
      </w:r>
      <w:r>
        <w:rPr>
          <w:color w:val="000000"/>
        </w:rPr>
        <w:t xml:space="preserve"> </w:t>
      </w:r>
      <w:r w:rsidR="00D017F8">
        <w:rPr>
          <w:color w:val="000000"/>
        </w:rPr>
        <w:t>Indiquer l</w:t>
      </w:r>
      <w:r>
        <w:rPr>
          <w:color w:val="000000"/>
        </w:rPr>
        <w:t>a nature et l’emplacement du projet, ainsi que les différentes activités que les travailleurs du projet vont entreprendre.</w:t>
      </w:r>
    </w:p>
    <w:p w14:paraId="620FCD22" w14:textId="77777777" w:rsidR="001D0D7A" w:rsidRDefault="001D0D7A" w:rsidP="00951861">
      <w:pPr>
        <w:spacing w:after="0"/>
        <w:jc w:val="both"/>
        <w:rPr>
          <w:color w:val="000000"/>
        </w:rPr>
      </w:pPr>
    </w:p>
    <w:p w14:paraId="133D8831" w14:textId="51A0BE94" w:rsidR="003F3149" w:rsidRDefault="001D0D7A" w:rsidP="00951861">
      <w:pPr>
        <w:spacing w:after="0"/>
        <w:jc w:val="both"/>
      </w:pPr>
      <w:r>
        <w:rPr>
          <w:b/>
          <w:i/>
          <w:color w:val="000000"/>
        </w:rPr>
        <w:t xml:space="preserve">Principaux risques </w:t>
      </w:r>
      <w:r w:rsidR="00D017F8">
        <w:rPr>
          <w:b/>
          <w:i/>
          <w:color w:val="000000"/>
        </w:rPr>
        <w:t xml:space="preserve">liés </w:t>
      </w:r>
      <w:r>
        <w:rPr>
          <w:b/>
          <w:i/>
          <w:color w:val="000000"/>
        </w:rPr>
        <w:t xml:space="preserve">à la main-d’œuvre : </w:t>
      </w:r>
      <w:r w:rsidR="00D017F8">
        <w:t xml:space="preserve">Identifier les </w:t>
      </w:r>
      <w:r>
        <w:t xml:space="preserve">principaux risques qui pourraient être associés </w:t>
      </w:r>
      <w:r w:rsidR="00D017F8">
        <w:t>à la main-d’œuvre du</w:t>
      </w:r>
      <w:r>
        <w:t xml:space="preserve"> projet (voir par exemple ceux énoncés dans la NES n</w:t>
      </w:r>
      <w:r>
        <w:rPr>
          <w:vertAlign w:val="superscript"/>
        </w:rPr>
        <w:t>o</w:t>
      </w:r>
      <w:r>
        <w:t> 2 et dans la Note d’orientation). Ceux-ci peuvent comprendre, par exemple :</w:t>
      </w:r>
    </w:p>
    <w:p w14:paraId="3A9E766D" w14:textId="77777777" w:rsidR="003C4179" w:rsidRDefault="003C4179" w:rsidP="00951861">
      <w:pPr>
        <w:spacing w:after="0"/>
        <w:jc w:val="both"/>
      </w:pPr>
    </w:p>
    <w:p w14:paraId="6C31F708" w14:textId="7D32D6EB" w:rsidR="001D0D7A" w:rsidRDefault="003C4179" w:rsidP="00951861">
      <w:pPr>
        <w:pStyle w:val="ListParagraph"/>
        <w:numPr>
          <w:ilvl w:val="0"/>
          <w:numId w:val="14"/>
        </w:numPr>
        <w:spacing w:after="0"/>
        <w:jc w:val="both"/>
      </w:pPr>
      <w:r>
        <w:lastRenderedPageBreak/>
        <w:t xml:space="preserve">La réalisation de travaux dangereux comme ceux effectués en hauteur ou dans des espaces confinés, </w:t>
      </w:r>
      <w:r w:rsidR="009716E8">
        <w:t>le maniement</w:t>
      </w:r>
      <w:r>
        <w:t xml:space="preserve"> d’équipements lourds ou la manipulation de matières dangereuses </w:t>
      </w:r>
    </w:p>
    <w:p w14:paraId="53DEDA07" w14:textId="637392C5" w:rsidR="001D0D7A" w:rsidRDefault="00E960C9" w:rsidP="00951861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Des cas </w:t>
      </w:r>
      <w:r w:rsidR="009716E8">
        <w:t xml:space="preserve">probables </w:t>
      </w:r>
      <w:r>
        <w:t xml:space="preserve">de travail des enfants ou de travail forcé, en indiquant le secteur ou la localité </w:t>
      </w:r>
      <w:r w:rsidR="00D017F8">
        <w:t>où ceux-ci pourraient être observés</w:t>
      </w:r>
    </w:p>
    <w:p w14:paraId="275F1C94" w14:textId="063F2A1B" w:rsidR="00E960C9" w:rsidRDefault="003C4179" w:rsidP="00951861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La présence </w:t>
      </w:r>
      <w:r w:rsidR="009716E8">
        <w:t xml:space="preserve">probable </w:t>
      </w:r>
      <w:r>
        <w:t>de migrants ou de travailleurs saisonniers</w:t>
      </w:r>
    </w:p>
    <w:p w14:paraId="06D83209" w14:textId="46544431" w:rsidR="00F90C32" w:rsidRDefault="008154D2" w:rsidP="00951861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Le risque d’afflux </w:t>
      </w:r>
      <w:r w:rsidR="00F90C32">
        <w:t>de main-d</w:t>
      </w:r>
      <w:r w:rsidR="00640B7C">
        <w:t>’</w:t>
      </w:r>
      <w:r w:rsidR="00F90C32">
        <w:t xml:space="preserve">œuvre ou </w:t>
      </w:r>
      <w:r w:rsidR="00D017F8">
        <w:t xml:space="preserve">des cas </w:t>
      </w:r>
      <w:r w:rsidR="00F90C32">
        <w:t>de violences sexistes</w:t>
      </w:r>
    </w:p>
    <w:p w14:paraId="2F0435B3" w14:textId="76C6B093" w:rsidR="00D16EA5" w:rsidRDefault="00D017F8" w:rsidP="00951861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Des </w:t>
      </w:r>
      <w:r w:rsidR="005C1588">
        <w:t xml:space="preserve">accidents ou </w:t>
      </w:r>
      <w:r>
        <w:t>des situations d’</w:t>
      </w:r>
      <w:r w:rsidR="005C1588">
        <w:t xml:space="preserve">urgence, en indiquant le secteur ou la localité </w:t>
      </w:r>
      <w:r>
        <w:t>où ceux-ci pourraient se produire</w:t>
      </w:r>
    </w:p>
    <w:p w14:paraId="4F8CD0DE" w14:textId="380D55B1" w:rsidR="00E960C9" w:rsidRDefault="00D16EA5" w:rsidP="00951861">
      <w:pPr>
        <w:pStyle w:val="ListParagraph"/>
        <w:numPr>
          <w:ilvl w:val="0"/>
          <w:numId w:val="14"/>
        </w:numPr>
        <w:spacing w:after="0"/>
        <w:jc w:val="both"/>
      </w:pPr>
      <w:r>
        <w:t>La compréhension et la mise en œuvre par tous des dispositions relatives à la santé et la sécurité au travail</w:t>
      </w:r>
    </w:p>
    <w:p w14:paraId="729D2B42" w14:textId="77777777" w:rsidR="00866ED5" w:rsidRDefault="00866ED5" w:rsidP="00866ED5">
      <w:pPr>
        <w:pStyle w:val="ListParagraph"/>
        <w:spacing w:after="0"/>
        <w:ind w:left="1440"/>
        <w:jc w:val="both"/>
      </w:pPr>
    </w:p>
    <w:p w14:paraId="6835C15E" w14:textId="77777777" w:rsidR="00E960C9" w:rsidRDefault="00E960C9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BREF TOUR D’HORIZON DE LA LÉGISLATION DU TRAVAIL : CONDITIONS GÉNÉRALES</w:t>
      </w:r>
    </w:p>
    <w:p w14:paraId="7148227D" w14:textId="29C8D30F" w:rsidR="005C1588" w:rsidRDefault="001A6809" w:rsidP="00951861">
      <w:pPr>
        <w:jc w:val="both"/>
      </w:pPr>
      <w:r>
        <w:t xml:space="preserve">Cette section décrit les </w:t>
      </w:r>
      <w:r>
        <w:rPr>
          <w:b/>
          <w:i/>
        </w:rPr>
        <w:t>principaux aspects</w:t>
      </w:r>
      <w:r>
        <w:t xml:space="preserve"> de la législation nationale du travail concern</w:t>
      </w:r>
      <w:r w:rsidR="001040FA">
        <w:t>a</w:t>
      </w:r>
      <w:r w:rsidR="00AE79D5">
        <w:t>nt</w:t>
      </w:r>
      <w:r>
        <w:t xml:space="preserve"> les conditions </w:t>
      </w:r>
      <w:r w:rsidR="008154D2">
        <w:t xml:space="preserve">et modalités </w:t>
      </w:r>
      <w:r>
        <w:t xml:space="preserve">de travail, et la manière dont </w:t>
      </w:r>
      <w:r w:rsidR="001040FA">
        <w:t xml:space="preserve">cette </w:t>
      </w:r>
      <w:r>
        <w:t>législation s’applique aux différentes catégories de travailleurs recensées à la section 1. Le tour d’horizon porte essentiellement sur la législation relative aux rubriques énoncées au paragraphe 11 de la NES n</w:t>
      </w:r>
      <w:r w:rsidRPr="00B56D4A">
        <w:rPr>
          <w:vertAlign w:val="superscript"/>
        </w:rPr>
        <w:t>o</w:t>
      </w:r>
      <w:r>
        <w:t xml:space="preserve"> 2 (rémunération, retenues sur salaires et </w:t>
      </w:r>
      <w:r w:rsidR="00CF1F40">
        <w:t>avantages sociaux</w:t>
      </w:r>
      <w:r>
        <w:t>).</w:t>
      </w:r>
    </w:p>
    <w:p w14:paraId="71EF7E37" w14:textId="77777777" w:rsidR="00866ED5" w:rsidRDefault="00866ED5" w:rsidP="00951861">
      <w:pPr>
        <w:jc w:val="both"/>
      </w:pPr>
    </w:p>
    <w:p w14:paraId="3BB13F37" w14:textId="77777777" w:rsidR="005C1588" w:rsidRDefault="005C1588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BREF TOUR D’HORIZON DE LA LÉGISLATION DU TRAVAIL : SANTÉ ET SÉCURITÉ AU TRAVAIL</w:t>
      </w:r>
    </w:p>
    <w:p w14:paraId="19D2EEAF" w14:textId="5139C2CC" w:rsidR="00E960C9" w:rsidRDefault="00A2355D" w:rsidP="00951861">
      <w:pPr>
        <w:jc w:val="both"/>
      </w:pPr>
      <w:r>
        <w:t xml:space="preserve">Cette section décrit les </w:t>
      </w:r>
      <w:r>
        <w:rPr>
          <w:b/>
          <w:i/>
        </w:rPr>
        <w:t>principaux aspects</w:t>
      </w:r>
      <w:r>
        <w:t xml:space="preserve"> de la législation nationale du travail </w:t>
      </w:r>
      <w:r w:rsidR="001040FA">
        <w:t xml:space="preserve">concernant </w:t>
      </w:r>
      <w:r>
        <w:t xml:space="preserve">la santé et la sécurité au travail, et la manière dont </w:t>
      </w:r>
      <w:r w:rsidR="001040FA">
        <w:t xml:space="preserve">cette </w:t>
      </w:r>
      <w:r>
        <w:t xml:space="preserve">législation s’applique aux différentes catégories de travailleurs identifiés à la section 1. </w:t>
      </w:r>
      <w:r w:rsidR="001040FA">
        <w:t xml:space="preserve">Le </w:t>
      </w:r>
      <w:r>
        <w:t>tour d’horizon porte essentiellement sur la législation relative aux rubriques énoncées aux paragraphes 24 à 30 de la NES n</w:t>
      </w:r>
      <w:r w:rsidRPr="00B56D4A">
        <w:rPr>
          <w:vertAlign w:val="superscript"/>
        </w:rPr>
        <w:t>o</w:t>
      </w:r>
      <w:r>
        <w:t> 2.</w:t>
      </w:r>
    </w:p>
    <w:p w14:paraId="5B832546" w14:textId="77777777" w:rsidR="00866ED5" w:rsidRDefault="00866ED5" w:rsidP="00951861">
      <w:pPr>
        <w:jc w:val="both"/>
      </w:pPr>
    </w:p>
    <w:p w14:paraId="53C78378" w14:textId="77777777" w:rsidR="00E960C9" w:rsidRDefault="001A6809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PERSONNEL RESPONSABLE</w:t>
      </w:r>
    </w:p>
    <w:p w14:paraId="280B70DB" w14:textId="5741A558" w:rsidR="002F2039" w:rsidRPr="00884FDB" w:rsidRDefault="00F838D3" w:rsidP="00951861">
      <w:pPr>
        <w:keepNext/>
        <w:jc w:val="both"/>
      </w:pPr>
      <w:r>
        <w:t xml:space="preserve">Cette </w:t>
      </w:r>
      <w:r>
        <w:rPr>
          <w:color w:val="000000"/>
        </w:rPr>
        <w:t xml:space="preserve">section précise à quelles fonctions et/ou personnes </w:t>
      </w:r>
      <w:r w:rsidR="001040FA">
        <w:rPr>
          <w:color w:val="000000"/>
        </w:rPr>
        <w:t xml:space="preserve">correspondent </w:t>
      </w:r>
      <w:r>
        <w:rPr>
          <w:color w:val="000000"/>
        </w:rPr>
        <w:t xml:space="preserve">les responsabilités suivantes </w:t>
      </w:r>
      <w:r w:rsidR="001040FA">
        <w:rPr>
          <w:color w:val="000000"/>
        </w:rPr>
        <w:t xml:space="preserve">dans le cadre du projet </w:t>
      </w:r>
      <w:r>
        <w:rPr>
          <w:color w:val="000000"/>
        </w:rPr>
        <w:t>(le cas échéant) :</w:t>
      </w:r>
      <w:r>
        <w:rPr>
          <w:color w:val="000000"/>
        </w:rPr>
        <w:tab/>
      </w:r>
    </w:p>
    <w:p w14:paraId="59F5485D" w14:textId="77777777" w:rsidR="00A2355D" w:rsidRDefault="00F838D3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Recrutement et gestion des travailleurs du projet</w:t>
      </w:r>
    </w:p>
    <w:p w14:paraId="31E60A94" w14:textId="657AE70F" w:rsidR="002F2039" w:rsidRDefault="001040FA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Recrutement</w:t>
      </w:r>
      <w:r w:rsidR="00884FDB">
        <w:rPr>
          <w:color w:val="000000"/>
        </w:rPr>
        <w:t xml:space="preserve"> et gestion des fournisseurs/prestataires </w:t>
      </w:r>
      <w:r>
        <w:rPr>
          <w:color w:val="000000"/>
        </w:rPr>
        <w:t xml:space="preserve">ou </w:t>
      </w:r>
      <w:r w:rsidR="00884FDB">
        <w:rPr>
          <w:color w:val="000000"/>
        </w:rPr>
        <w:t>sous-traitants</w:t>
      </w:r>
    </w:p>
    <w:p w14:paraId="61308DBB" w14:textId="300F09FB" w:rsidR="002F2039" w:rsidRDefault="00A47A5A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Santé et sécurité au travail</w:t>
      </w:r>
    </w:p>
    <w:p w14:paraId="1EBA2118" w14:textId="4BFEB9C6" w:rsidR="00A2355D" w:rsidRDefault="001040FA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Formation</w:t>
      </w:r>
      <w:r w:rsidR="00A2355D">
        <w:rPr>
          <w:color w:val="000000"/>
        </w:rPr>
        <w:t xml:space="preserve"> des travailleurs</w:t>
      </w:r>
    </w:p>
    <w:p w14:paraId="6594473F" w14:textId="77777777" w:rsidR="003F3149" w:rsidRDefault="00A47A5A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Gestion des plaintes des travailleurs</w:t>
      </w:r>
    </w:p>
    <w:p w14:paraId="047E1834" w14:textId="77777777" w:rsidR="00F838D3" w:rsidRDefault="00F838D3" w:rsidP="00951861">
      <w:pPr>
        <w:pStyle w:val="ListParagraph"/>
        <w:spacing w:after="0"/>
        <w:ind w:left="1440"/>
        <w:jc w:val="both"/>
        <w:rPr>
          <w:color w:val="000000"/>
        </w:rPr>
      </w:pPr>
      <w:bookmarkStart w:id="0" w:name="_GoBack"/>
      <w:bookmarkEnd w:id="0"/>
    </w:p>
    <w:p w14:paraId="74732DF9" w14:textId="4D5DCE48" w:rsidR="00884FDB" w:rsidRDefault="00F838D3" w:rsidP="00951861">
      <w:pPr>
        <w:spacing w:after="0"/>
        <w:jc w:val="both"/>
        <w:rPr>
          <w:color w:val="000000"/>
        </w:rPr>
      </w:pPr>
      <w:r>
        <w:rPr>
          <w:color w:val="000000"/>
        </w:rPr>
        <w:t xml:space="preserve">Dans certains cas, ces fonctions et/ou personnes </w:t>
      </w:r>
      <w:r w:rsidR="00866ED5">
        <w:rPr>
          <w:color w:val="000000"/>
        </w:rPr>
        <w:t xml:space="preserve">peuvent être identifiées </w:t>
      </w:r>
      <w:r>
        <w:rPr>
          <w:color w:val="000000"/>
        </w:rPr>
        <w:t xml:space="preserve">chez </w:t>
      </w:r>
      <w:r w:rsidR="00866ED5">
        <w:rPr>
          <w:color w:val="000000"/>
        </w:rPr>
        <w:t>d</w:t>
      </w:r>
      <w:r>
        <w:rPr>
          <w:color w:val="000000"/>
        </w:rPr>
        <w:t xml:space="preserve">es fournisseurs/prestataires ou sous-traitants, particulièrement lorsque les travailleurs du projet sont employés par des tiers. </w:t>
      </w:r>
    </w:p>
    <w:p w14:paraId="01B7944F" w14:textId="77777777" w:rsidR="00531220" w:rsidRPr="00F838D3" w:rsidRDefault="00531220" w:rsidP="00951861">
      <w:pPr>
        <w:spacing w:after="0"/>
        <w:jc w:val="both"/>
        <w:rPr>
          <w:color w:val="000000"/>
        </w:rPr>
      </w:pPr>
    </w:p>
    <w:p w14:paraId="7AC14F12" w14:textId="77777777" w:rsidR="00004BAE" w:rsidRPr="00B56D4A" w:rsidRDefault="00884FDB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B56D4A">
        <w:rPr>
          <w:rFonts w:asciiTheme="minorHAnsi" w:hAnsiTheme="minorHAnsi"/>
        </w:rPr>
        <w:t>POLITIQUES ET PROCÉDURES</w:t>
      </w:r>
    </w:p>
    <w:p w14:paraId="65036478" w14:textId="4423BD58" w:rsidR="003F3149" w:rsidRDefault="00A2355D" w:rsidP="00951861">
      <w:pPr>
        <w:pStyle w:val="Heading2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Cette section donne des informations sur la santé et la sécurité au travail, les rapports et le suivi ainsi que d’autres politiques générales applicables au projet. Le cas échéant, elle </w:t>
      </w:r>
      <w:r w:rsidR="001040FA">
        <w:rPr>
          <w:rFonts w:asciiTheme="minorHAnsi" w:hAnsiTheme="minorHAnsi"/>
          <w:b w:val="0"/>
          <w:color w:val="auto"/>
          <w:sz w:val="22"/>
          <w:szCs w:val="22"/>
        </w:rPr>
        <w:t xml:space="preserve">identifie la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législation nationale </w:t>
      </w:r>
      <w:r w:rsidR="001040FA">
        <w:rPr>
          <w:rFonts w:asciiTheme="minorHAnsi" w:hAnsiTheme="minorHAnsi"/>
          <w:b w:val="0"/>
          <w:color w:val="auto"/>
          <w:sz w:val="22"/>
          <w:szCs w:val="22"/>
        </w:rPr>
        <w:t>applicable</w:t>
      </w:r>
      <w:r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4E3234F9" w14:textId="0C6C2215" w:rsidR="00C37EE3" w:rsidRPr="00C37EE3" w:rsidRDefault="00CF1F40" w:rsidP="00951861">
      <w:pPr>
        <w:jc w:val="both"/>
      </w:pPr>
      <w:r>
        <w:t xml:space="preserve">Si </w:t>
      </w:r>
      <w:r w:rsidR="00C37EE3">
        <w:t xml:space="preserve">des risques importants pour la sécurité </w:t>
      </w:r>
      <w:r w:rsidR="001040FA">
        <w:t>s</w:t>
      </w:r>
      <w:r w:rsidR="00C37EE3">
        <w:t xml:space="preserve">ont </w:t>
      </w:r>
      <w:r w:rsidR="00063C7F">
        <w:t xml:space="preserve">recensés </w:t>
      </w:r>
      <w:r w:rsidR="001040FA">
        <w:t>à</w:t>
      </w:r>
      <w:r w:rsidR="00C37EE3">
        <w:t xml:space="preserve"> la </w:t>
      </w:r>
      <w:r w:rsidR="001040FA">
        <w:t>section </w:t>
      </w:r>
      <w:r w:rsidR="00C37EE3">
        <w:t xml:space="preserve">2, la présente section décrit comment ceux-ci seront gérés. </w:t>
      </w:r>
      <w:r>
        <w:t xml:space="preserve">Si </w:t>
      </w:r>
      <w:r w:rsidR="00C37EE3">
        <w:t xml:space="preserve">le travail forcé </w:t>
      </w:r>
      <w:r w:rsidR="001040FA">
        <w:t>est</w:t>
      </w:r>
      <w:r w:rsidR="00C37EE3">
        <w:t xml:space="preserve"> </w:t>
      </w:r>
      <w:r w:rsidR="00866ED5">
        <w:t>considéré</w:t>
      </w:r>
      <w:r w:rsidR="001040FA">
        <w:t xml:space="preserve"> comme un risque</w:t>
      </w:r>
      <w:r w:rsidR="00C37EE3">
        <w:t xml:space="preserve">, cette section décrit comment </w:t>
      </w:r>
      <w:r w:rsidR="001040FA">
        <w:t xml:space="preserve">celui-ci </w:t>
      </w:r>
      <w:r w:rsidR="00C37EE3">
        <w:t>sera géré (voir le paragraphe 20 de la NES n</w:t>
      </w:r>
      <w:r w:rsidR="00C37EE3">
        <w:rPr>
          <w:vertAlign w:val="superscript"/>
        </w:rPr>
        <w:t>o</w:t>
      </w:r>
      <w:r w:rsidR="00C37EE3">
        <w:t xml:space="preserve"> 2 et les sections correspondantes de la Note d’orientation). </w:t>
      </w:r>
      <w:r w:rsidR="001040FA">
        <w:t>Et l</w:t>
      </w:r>
      <w:r w:rsidR="00C37EE3">
        <w:t>orsqu</w:t>
      </w:r>
      <w:r w:rsidR="001040FA">
        <w:t>’il est déterminé qu’il existe un risqu</w:t>
      </w:r>
      <w:r w:rsidR="00C37EE3">
        <w:t xml:space="preserve">e </w:t>
      </w:r>
      <w:r w:rsidR="001040FA">
        <w:t xml:space="preserve">de </w:t>
      </w:r>
      <w:r w:rsidR="00C37EE3">
        <w:t>travail des enfants, ce</w:t>
      </w:r>
      <w:r w:rsidR="001040FA">
        <w:t xml:space="preserve">lui-ci est </w:t>
      </w:r>
      <w:r w:rsidR="00C37EE3">
        <w:t xml:space="preserve">examiné à la </w:t>
      </w:r>
      <w:r w:rsidR="001040FA">
        <w:t>section </w:t>
      </w:r>
      <w:r w:rsidR="00C37EE3">
        <w:t>7.</w:t>
      </w:r>
    </w:p>
    <w:p w14:paraId="77270514" w14:textId="31D3D15D" w:rsidR="000A05AC" w:rsidRDefault="001040FA" w:rsidP="00951861">
      <w:pPr>
        <w:jc w:val="both"/>
      </w:pPr>
      <w:r>
        <w:t xml:space="preserve">Si </w:t>
      </w:r>
      <w:r w:rsidR="00A2355D">
        <w:t xml:space="preserve">l’Emprunteur dispose de politiques ou procédures </w:t>
      </w:r>
      <w:r>
        <w:t>particulières</w:t>
      </w:r>
      <w:r w:rsidR="00A2355D">
        <w:t>, elles</w:t>
      </w:r>
      <w:r w:rsidR="006252E0">
        <w:t xml:space="preserve"> </w:t>
      </w:r>
      <w:r w:rsidR="00A2355D">
        <w:t xml:space="preserve">peuvent être </w:t>
      </w:r>
      <w:r w:rsidR="006252E0">
        <w:t xml:space="preserve">citées </w:t>
      </w:r>
      <w:r w:rsidR="00A2355D">
        <w:t>dans les procédures de gestion de la main-d’œuvre ou annexées à celles-ci, ainsi que tout autre document pertinent.</w:t>
      </w:r>
    </w:p>
    <w:p w14:paraId="2EFABB31" w14:textId="77777777" w:rsidR="003F3149" w:rsidRDefault="005D2709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ÂGE D’ADMISSION À L’EMPLOI</w:t>
      </w:r>
    </w:p>
    <w:p w14:paraId="63EC0211" w14:textId="77777777" w:rsidR="003F3149" w:rsidRDefault="00A2355D" w:rsidP="00951861">
      <w:pPr>
        <w:jc w:val="both"/>
      </w:pPr>
      <w:r>
        <w:t>Cette section fournit des informations détaillées sur :</w:t>
      </w:r>
    </w:p>
    <w:p w14:paraId="70183A03" w14:textId="77777777" w:rsidR="003F3149" w:rsidRDefault="00C37EE3" w:rsidP="00951861">
      <w:pPr>
        <w:pStyle w:val="ListParagraph"/>
        <w:numPr>
          <w:ilvl w:val="0"/>
          <w:numId w:val="9"/>
        </w:numPr>
        <w:jc w:val="both"/>
      </w:pPr>
      <w:r>
        <w:t>L’âge minimum d’admission à l’emploi dans le cadre du projet</w:t>
      </w:r>
    </w:p>
    <w:p w14:paraId="6C767E3F" w14:textId="77777777" w:rsidR="00BC48A5" w:rsidRDefault="00BC48A5" w:rsidP="00951861">
      <w:pPr>
        <w:pStyle w:val="ListParagraph"/>
        <w:numPr>
          <w:ilvl w:val="0"/>
          <w:numId w:val="9"/>
        </w:numPr>
        <w:jc w:val="both"/>
      </w:pPr>
      <w:r>
        <w:t xml:space="preserve">La procédure à suivre pour vérifier l’âge des travailleurs du projet </w:t>
      </w:r>
    </w:p>
    <w:p w14:paraId="18D62C27" w14:textId="59CB5267" w:rsidR="005D2709" w:rsidRDefault="00BC48A5" w:rsidP="00951861">
      <w:pPr>
        <w:pStyle w:val="ListParagraph"/>
        <w:numPr>
          <w:ilvl w:val="0"/>
          <w:numId w:val="9"/>
        </w:numPr>
        <w:jc w:val="both"/>
      </w:pPr>
      <w:r>
        <w:t xml:space="preserve">La procédure à suivre </w:t>
      </w:r>
      <w:r w:rsidR="006252E0">
        <w:t xml:space="preserve">si l’on détermine </w:t>
      </w:r>
      <w:r>
        <w:t>que des travailleurs n’ayant pas l’âge réglementaire travaillent sur le projet</w:t>
      </w:r>
    </w:p>
    <w:p w14:paraId="6B6891FB" w14:textId="32FF6A5E" w:rsidR="003F3149" w:rsidRDefault="00C37EE3" w:rsidP="00951861">
      <w:pPr>
        <w:pStyle w:val="ListParagraph"/>
        <w:numPr>
          <w:ilvl w:val="0"/>
          <w:numId w:val="9"/>
        </w:numPr>
        <w:jc w:val="both"/>
      </w:pPr>
      <w:r>
        <w:t>La procédure à suivre pour évaluer les risques relatifs aux travailleurs ayant dépassé l’âge minimum</w:t>
      </w:r>
      <w:r w:rsidR="00640B7C">
        <w:t>,</w:t>
      </w:r>
      <w:r>
        <w:t xml:space="preserve"> mais n’ayant pas encore atteint 18 ans</w:t>
      </w:r>
    </w:p>
    <w:p w14:paraId="25B544C5" w14:textId="4A45677E" w:rsidR="007D416F" w:rsidRDefault="000F3DC8" w:rsidP="00951861">
      <w:pPr>
        <w:jc w:val="both"/>
      </w:pPr>
      <w:r>
        <w:t>Voir les paragraphes</w:t>
      </w:r>
      <w:r w:rsidR="00640B7C">
        <w:t> </w:t>
      </w:r>
      <w:r>
        <w:t>17 à 19 de la NES n</w:t>
      </w:r>
      <w:r>
        <w:rPr>
          <w:vertAlign w:val="superscript"/>
        </w:rPr>
        <w:t>o</w:t>
      </w:r>
      <w:r w:rsidR="00640B7C">
        <w:t> </w:t>
      </w:r>
      <w:r>
        <w:t xml:space="preserve">2 ainsi que les sections correspondantes de la Note d’orientation. </w:t>
      </w:r>
    </w:p>
    <w:p w14:paraId="695305CD" w14:textId="77777777" w:rsidR="003F3149" w:rsidRDefault="005D2709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CONDITIONS GÉNÉRALES</w:t>
      </w:r>
    </w:p>
    <w:p w14:paraId="31128854" w14:textId="77777777" w:rsidR="003F3149" w:rsidRDefault="00A2355D" w:rsidP="00951861">
      <w:pPr>
        <w:jc w:val="both"/>
      </w:pPr>
      <w:r>
        <w:t>Cette section fournit des informations détaillées sur :</w:t>
      </w:r>
    </w:p>
    <w:p w14:paraId="2F04C5D9" w14:textId="25191AEE" w:rsidR="00531220" w:rsidRDefault="005D2709" w:rsidP="00951861">
      <w:pPr>
        <w:pStyle w:val="ListParagraph"/>
        <w:numPr>
          <w:ilvl w:val="0"/>
          <w:numId w:val="10"/>
        </w:numPr>
        <w:jc w:val="both"/>
      </w:pPr>
      <w:r>
        <w:t>Les salaires, les horaires de travail et autres dispositions s’appliqu</w:t>
      </w:r>
      <w:r w:rsidR="00063C7F">
        <w:t>a</w:t>
      </w:r>
      <w:r>
        <w:t xml:space="preserve">nt au projet </w:t>
      </w:r>
    </w:p>
    <w:p w14:paraId="6526ECAC" w14:textId="77777777" w:rsidR="003F3149" w:rsidRDefault="003F3149" w:rsidP="00951861">
      <w:pPr>
        <w:pStyle w:val="ListParagraph"/>
        <w:numPr>
          <w:ilvl w:val="0"/>
          <w:numId w:val="10"/>
        </w:numPr>
        <w:jc w:val="both"/>
      </w:pPr>
      <w:r>
        <w:t>Le nombre maximal d’heures de travail qui peuvent être effectuées dans le cadre du projet</w:t>
      </w:r>
    </w:p>
    <w:p w14:paraId="21527055" w14:textId="279E9D76" w:rsidR="00531220" w:rsidRDefault="00531220" w:rsidP="00951861">
      <w:pPr>
        <w:pStyle w:val="ListParagraph"/>
        <w:numPr>
          <w:ilvl w:val="0"/>
          <w:numId w:val="10"/>
        </w:numPr>
        <w:jc w:val="both"/>
      </w:pPr>
      <w:r>
        <w:t>Toute convention collective applicable au projet</w:t>
      </w:r>
      <w:r w:rsidR="00754FEB">
        <w:t>.</w:t>
      </w:r>
      <w:r>
        <w:t xml:space="preserve"> Le cas échéant, en dresser la liste et </w:t>
      </w:r>
      <w:r w:rsidR="00754FEB">
        <w:t xml:space="preserve">décrire les </w:t>
      </w:r>
      <w:r>
        <w:t xml:space="preserve">principales caractéristiques et dispositions de ces conventions. </w:t>
      </w:r>
    </w:p>
    <w:p w14:paraId="72AC2B4B" w14:textId="7198295E" w:rsidR="00884FDB" w:rsidRDefault="00063C7F" w:rsidP="00951861">
      <w:pPr>
        <w:pStyle w:val="ListParagraph"/>
        <w:numPr>
          <w:ilvl w:val="0"/>
          <w:numId w:val="10"/>
        </w:numPr>
        <w:jc w:val="both"/>
      </w:pPr>
      <w:r>
        <w:t xml:space="preserve">Toute </w:t>
      </w:r>
      <w:r w:rsidR="00754FEB">
        <w:t>a</w:t>
      </w:r>
      <w:r w:rsidR="005D2709">
        <w:t>utre</w:t>
      </w:r>
      <w:r>
        <w:t xml:space="preserve"> </w:t>
      </w:r>
      <w:r w:rsidR="005D2709">
        <w:t xml:space="preserve">condition particulière </w:t>
      </w:r>
    </w:p>
    <w:p w14:paraId="5205C1D9" w14:textId="77777777" w:rsidR="0052585B" w:rsidRDefault="0052585B" w:rsidP="00951861">
      <w:pPr>
        <w:pStyle w:val="ListParagraph"/>
        <w:jc w:val="both"/>
      </w:pPr>
    </w:p>
    <w:p w14:paraId="41EA875C" w14:textId="77777777" w:rsidR="00531220" w:rsidRDefault="00531220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MÉCANISME DE GESTION DES PLAINTES</w:t>
      </w:r>
    </w:p>
    <w:p w14:paraId="5D57B2FB" w14:textId="0D437E4D" w:rsidR="00531220" w:rsidRDefault="00531220" w:rsidP="00951861">
      <w:pPr>
        <w:jc w:val="both"/>
      </w:pPr>
      <w:r>
        <w:t xml:space="preserve">Cette section </w:t>
      </w:r>
      <w:r w:rsidR="00640B7C">
        <w:t>fournit</w:t>
      </w:r>
      <w:r>
        <w:t xml:space="preserve"> des informations détaillées sur le mécanisme de gestion des plaintes qui sera mis à la disposition des travailleurs directs et contractuels, et décrit de quelle manière ces travailleurs seront </w:t>
      </w:r>
      <w:r w:rsidR="00640B7C">
        <w:t>informés</w:t>
      </w:r>
      <w:r>
        <w:t xml:space="preserve"> de </w:t>
      </w:r>
      <w:r w:rsidR="00063C7F">
        <w:t>son existence</w:t>
      </w:r>
      <w:r>
        <w:t>.</w:t>
      </w:r>
    </w:p>
    <w:p w14:paraId="087A29DE" w14:textId="1F7B150B" w:rsidR="000F3DC8" w:rsidRDefault="000F3DC8" w:rsidP="00951861">
      <w:pPr>
        <w:jc w:val="both"/>
      </w:pPr>
      <w:r>
        <w:t xml:space="preserve">Lorsque des travailleurs communautaires sont engagés dans le cadre du projet, des informations détaillées sur le mécanisme de gestion des plaintes </w:t>
      </w:r>
      <w:r w:rsidR="001A6046">
        <w:t xml:space="preserve">concernant </w:t>
      </w:r>
      <w:r>
        <w:t xml:space="preserve">ces travailleurs sont fournies à la </w:t>
      </w:r>
      <w:r w:rsidR="001A6046">
        <w:t>section </w:t>
      </w:r>
      <w:r>
        <w:t>11.</w:t>
      </w:r>
    </w:p>
    <w:p w14:paraId="4FE2F72D" w14:textId="77777777" w:rsidR="00181920" w:rsidRDefault="00181920" w:rsidP="00951861">
      <w:pPr>
        <w:jc w:val="both"/>
      </w:pPr>
    </w:p>
    <w:p w14:paraId="3E08B7AF" w14:textId="77777777" w:rsidR="003F3149" w:rsidRPr="0052585B" w:rsidRDefault="0052585B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GESTION DES FOURNISSEURS ET PRESTATAIRES </w:t>
      </w:r>
    </w:p>
    <w:p w14:paraId="6F7B88A4" w14:textId="77777777" w:rsidR="003F3149" w:rsidRDefault="009E4F98" w:rsidP="00951861">
      <w:pPr>
        <w:jc w:val="both"/>
      </w:pPr>
      <w:r>
        <w:t>Cette section fournit des informations détaillées sur :</w:t>
      </w:r>
    </w:p>
    <w:p w14:paraId="7135F423" w14:textId="4BCD46A6" w:rsidR="00951BB5" w:rsidRDefault="0052585B" w:rsidP="00951861">
      <w:pPr>
        <w:pStyle w:val="ListParagraph"/>
        <w:numPr>
          <w:ilvl w:val="0"/>
          <w:numId w:val="8"/>
        </w:numPr>
        <w:jc w:val="both"/>
      </w:pPr>
      <w:r>
        <w:t>Le processus de sélection des fournisseurs et prestataires, tel que décrit au paragraphe</w:t>
      </w:r>
      <w:r w:rsidR="00640B7C">
        <w:t> </w:t>
      </w:r>
      <w:r>
        <w:t>31 de la NES n</w:t>
      </w:r>
      <w:r w:rsidRPr="00B56D4A">
        <w:rPr>
          <w:vertAlign w:val="superscript"/>
        </w:rPr>
        <w:t>o</w:t>
      </w:r>
      <w:r w:rsidR="00640B7C">
        <w:t> </w:t>
      </w:r>
      <w:r>
        <w:t xml:space="preserve">2 et </w:t>
      </w:r>
      <w:r w:rsidR="005932C4">
        <w:t>au paragraphe 31.1 de la Note d’orientation correspondante</w:t>
      </w:r>
      <w:r>
        <w:t xml:space="preserve">. </w:t>
      </w:r>
    </w:p>
    <w:p w14:paraId="3DE3C698" w14:textId="03907944" w:rsidR="003F3149" w:rsidRDefault="0052585B" w:rsidP="00951861">
      <w:pPr>
        <w:pStyle w:val="ListParagraph"/>
        <w:numPr>
          <w:ilvl w:val="0"/>
          <w:numId w:val="8"/>
        </w:numPr>
        <w:jc w:val="both"/>
      </w:pPr>
      <w:r>
        <w:t xml:space="preserve">Les dispositions contractuelles qui seront mises </w:t>
      </w:r>
      <w:r w:rsidR="00102687">
        <w:t>en place</w:t>
      </w:r>
      <w:r w:rsidR="001A6046">
        <w:t xml:space="preserve"> </w:t>
      </w:r>
      <w:r>
        <w:t>pour la gestion des questions liées à la main-d’œuvre employée par les fournisseurs et prestataires, y compris les questions de santé et de sécurité au travail, telles que décrites au paragraphe</w:t>
      </w:r>
      <w:r w:rsidR="00640B7C">
        <w:t> </w:t>
      </w:r>
      <w:r>
        <w:t>32 de la NES n</w:t>
      </w:r>
      <w:r w:rsidRPr="00B56D4A">
        <w:rPr>
          <w:vertAlign w:val="superscript"/>
        </w:rPr>
        <w:t xml:space="preserve">o </w:t>
      </w:r>
      <w:r>
        <w:t>2 et</w:t>
      </w:r>
      <w:r w:rsidR="005932C4">
        <w:t xml:space="preserve"> au paragraphe 32.1 de la Note d’orientation correspondante</w:t>
      </w:r>
      <w:r>
        <w:t>.</w:t>
      </w:r>
    </w:p>
    <w:p w14:paraId="66469400" w14:textId="1681BA0E" w:rsidR="00951BB5" w:rsidRDefault="0052585B" w:rsidP="005958F6">
      <w:pPr>
        <w:pStyle w:val="ListParagraph"/>
        <w:numPr>
          <w:ilvl w:val="0"/>
          <w:numId w:val="8"/>
        </w:numPr>
        <w:jc w:val="both"/>
      </w:pPr>
      <w:r>
        <w:t>La procédure de gestion et de suivi de la performance des fournisseurs et prestataires, telle que décrite au paragraphe</w:t>
      </w:r>
      <w:r w:rsidR="00640B7C">
        <w:t> </w:t>
      </w:r>
      <w:r>
        <w:t>32 de la NES n</w:t>
      </w:r>
      <w:r w:rsidRPr="00B56D4A">
        <w:rPr>
          <w:vertAlign w:val="superscript"/>
        </w:rPr>
        <w:t>o</w:t>
      </w:r>
      <w:r w:rsidR="00640B7C">
        <w:t> </w:t>
      </w:r>
      <w:r>
        <w:t xml:space="preserve">2 </w:t>
      </w:r>
      <w:r w:rsidR="005932C4">
        <w:t>et au paragraphe 32.1 de la Note d’orientation correspondante</w:t>
      </w:r>
      <w:r>
        <w:t>.</w:t>
      </w:r>
    </w:p>
    <w:p w14:paraId="6B2357B0" w14:textId="77777777" w:rsidR="00181920" w:rsidRDefault="00181920" w:rsidP="00181920">
      <w:pPr>
        <w:pStyle w:val="ListParagraph"/>
        <w:jc w:val="both"/>
      </w:pPr>
    </w:p>
    <w:p w14:paraId="3CA8BB96" w14:textId="77777777" w:rsidR="003F3149" w:rsidRDefault="0052585B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TRAVAILLEURS COMMUNAUTAIRES</w:t>
      </w:r>
    </w:p>
    <w:p w14:paraId="30313F70" w14:textId="6B68326F" w:rsidR="003F3149" w:rsidRDefault="00C37EE3" w:rsidP="00951861">
      <w:pPr>
        <w:jc w:val="both"/>
      </w:pPr>
      <w:r>
        <w:t xml:space="preserve">Lorsque le projet prévoit le recours à des travailleurs communautaires, cette section </w:t>
      </w:r>
      <w:r w:rsidR="001A6046">
        <w:t xml:space="preserve">donne </w:t>
      </w:r>
      <w:r>
        <w:t xml:space="preserve">des informations détaillées sur leurs conditions de travail et indique les mesures à prendre pour s’assurer que cette main-d’œuvre est fournie </w:t>
      </w:r>
      <w:r w:rsidR="00102687">
        <w:t>à titre</w:t>
      </w:r>
      <w:r>
        <w:t xml:space="preserve"> </w:t>
      </w:r>
      <w:r w:rsidR="00102687">
        <w:t>bénévole</w:t>
      </w:r>
      <w:r>
        <w:t xml:space="preserve">. Elle </w:t>
      </w:r>
      <w:r w:rsidR="001A6046">
        <w:t xml:space="preserve">donne </w:t>
      </w:r>
      <w:r>
        <w:t xml:space="preserve">aussi des détails sur la nature des accords qui devront être conclus et les modalités d’enregistrement de ces accords. Voir </w:t>
      </w:r>
      <w:r w:rsidR="005932C4">
        <w:t>le paragraphe 34.4 de la Note d’orientation correspondante</w:t>
      </w:r>
      <w:r>
        <w:t>.</w:t>
      </w:r>
    </w:p>
    <w:p w14:paraId="6C5B6C46" w14:textId="45E7DF0B" w:rsidR="0052585B" w:rsidRDefault="00DC6B7F" w:rsidP="00951861">
      <w:pPr>
        <w:spacing w:after="160" w:line="256" w:lineRule="auto"/>
        <w:jc w:val="both"/>
      </w:pPr>
      <w:r>
        <w:t xml:space="preserve">Cette section fournit des informations détaillées sur le mécanisme de gestion des plaintes </w:t>
      </w:r>
      <w:r w:rsidR="001A6046">
        <w:t xml:space="preserve">concernant les </w:t>
      </w:r>
      <w:r>
        <w:t xml:space="preserve">travailleurs communautaires ainsi que </w:t>
      </w:r>
      <w:r w:rsidR="001A6046">
        <w:t xml:space="preserve">sur </w:t>
      </w:r>
      <w:r>
        <w:t xml:space="preserve">les rôles et responsabilités </w:t>
      </w:r>
      <w:r w:rsidR="00B56D4A">
        <w:t xml:space="preserve">en matière de </w:t>
      </w:r>
      <w:r>
        <w:t>suivi de ces travailleurs. Voir les paragraphes</w:t>
      </w:r>
      <w:r w:rsidR="00640B7C">
        <w:t> </w:t>
      </w:r>
      <w:r>
        <w:t>36 et 37 de la NES n</w:t>
      </w:r>
      <w:r w:rsidRPr="00B56D4A">
        <w:rPr>
          <w:vertAlign w:val="superscript"/>
        </w:rPr>
        <w:t>o</w:t>
      </w:r>
      <w:r>
        <w:t> 2.</w:t>
      </w:r>
    </w:p>
    <w:p w14:paraId="6B64763F" w14:textId="77777777" w:rsidR="00181920" w:rsidRDefault="00181920" w:rsidP="00951861">
      <w:pPr>
        <w:spacing w:after="160" w:line="256" w:lineRule="auto"/>
        <w:jc w:val="both"/>
        <w:rPr>
          <w:rFonts w:cstheme="minorHAnsi"/>
        </w:rPr>
      </w:pPr>
    </w:p>
    <w:p w14:paraId="134CA9CB" w14:textId="77777777" w:rsidR="0052585B" w:rsidRPr="00CC421E" w:rsidRDefault="0052585B" w:rsidP="00951861">
      <w:pPr>
        <w:pStyle w:val="Heading2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EMPLOYÉS DES FOURNISSEURS PRINCIPAUX</w:t>
      </w:r>
    </w:p>
    <w:p w14:paraId="7F1A9AC6" w14:textId="7020F726" w:rsidR="0052585B" w:rsidRPr="00CC421E" w:rsidRDefault="00DC6B7F" w:rsidP="00951861">
      <w:pPr>
        <w:jc w:val="both"/>
      </w:pPr>
      <w:r>
        <w:t xml:space="preserve">Lorsqu’il existe un risque considérable de travail des enfants ou de travail forcé ou un risque sérieux relatif à des questions de sécurité se rapportant aux fournisseurs principaux, cette section énonce la procédure de suivi </w:t>
      </w:r>
      <w:r w:rsidR="00B56D4A">
        <w:t xml:space="preserve">et </w:t>
      </w:r>
      <w:r>
        <w:t>de rapports concernant les employés des fournisseurs principaux.</w:t>
      </w:r>
    </w:p>
    <w:sectPr w:rsidR="0052585B" w:rsidRPr="00CC4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0C42" w14:textId="77777777" w:rsidR="005E12A3" w:rsidRDefault="005E12A3" w:rsidP="008905B9">
      <w:pPr>
        <w:spacing w:after="0" w:line="240" w:lineRule="auto"/>
      </w:pPr>
      <w:r>
        <w:separator/>
      </w:r>
    </w:p>
  </w:endnote>
  <w:endnote w:type="continuationSeparator" w:id="0">
    <w:p w14:paraId="3B8BAFCE" w14:textId="77777777" w:rsidR="005E12A3" w:rsidRDefault="005E12A3" w:rsidP="008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E4F2" w14:textId="77777777" w:rsidR="00F939F6" w:rsidRDefault="00F93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12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903DA" w14:textId="77777777" w:rsidR="00F63234" w:rsidRDefault="00F63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C32">
          <w:t>4</w:t>
        </w:r>
        <w:r>
          <w:fldChar w:fldCharType="end"/>
        </w:r>
      </w:p>
    </w:sdtContent>
  </w:sdt>
  <w:p w14:paraId="1B75899B" w14:textId="77777777" w:rsidR="00F63234" w:rsidRDefault="00F63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625B" w14:textId="77777777" w:rsidR="00F939F6" w:rsidRDefault="00F9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AAFE" w14:textId="77777777" w:rsidR="005E12A3" w:rsidRDefault="005E12A3" w:rsidP="008905B9">
      <w:pPr>
        <w:spacing w:after="0" w:line="240" w:lineRule="auto"/>
      </w:pPr>
      <w:r>
        <w:separator/>
      </w:r>
    </w:p>
  </w:footnote>
  <w:footnote w:type="continuationSeparator" w:id="0">
    <w:p w14:paraId="392FC751" w14:textId="77777777" w:rsidR="005E12A3" w:rsidRDefault="005E12A3" w:rsidP="0089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3C94" w14:textId="77777777" w:rsidR="00F939F6" w:rsidRDefault="00F93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1E4A" w14:textId="77777777" w:rsidR="00531220" w:rsidRPr="00531220" w:rsidRDefault="00531220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BANQUE MONDIALE</w:t>
    </w:r>
  </w:p>
  <w:p w14:paraId="0C2CE7F5" w14:textId="77777777" w:rsidR="00531220" w:rsidRPr="00531220" w:rsidRDefault="00531220" w:rsidP="00531220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PROCÉDURES DE GESTION DE LA MAIN-D’ŒUVRE : VERSION 1.0 - 6 SEPTEMBRE 2018</w:t>
    </w:r>
  </w:p>
  <w:p w14:paraId="31CB6B23" w14:textId="77777777" w:rsidR="00F63234" w:rsidRDefault="00F63234">
    <w:pPr>
      <w:pStyle w:val="Header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19FD" w14:textId="77777777" w:rsidR="00F939F6" w:rsidRDefault="00F9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A1"/>
    <w:multiLevelType w:val="hybridMultilevel"/>
    <w:tmpl w:val="790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0C8"/>
    <w:multiLevelType w:val="hybridMultilevel"/>
    <w:tmpl w:val="549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BAE"/>
    <w:multiLevelType w:val="hybridMultilevel"/>
    <w:tmpl w:val="EF3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E31"/>
    <w:multiLevelType w:val="hybridMultilevel"/>
    <w:tmpl w:val="AEAA26B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616"/>
    <w:multiLevelType w:val="hybridMultilevel"/>
    <w:tmpl w:val="4D0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D60"/>
    <w:multiLevelType w:val="hybridMultilevel"/>
    <w:tmpl w:val="054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6A5"/>
    <w:multiLevelType w:val="hybridMultilevel"/>
    <w:tmpl w:val="A306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55EC"/>
    <w:multiLevelType w:val="hybridMultilevel"/>
    <w:tmpl w:val="EF36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76F5A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111B"/>
    <w:multiLevelType w:val="hybridMultilevel"/>
    <w:tmpl w:val="FDE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92B"/>
    <w:multiLevelType w:val="hybridMultilevel"/>
    <w:tmpl w:val="170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4CF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123"/>
    <w:multiLevelType w:val="hybridMultilevel"/>
    <w:tmpl w:val="A8D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57B7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3B2E"/>
    <w:multiLevelType w:val="hybridMultilevel"/>
    <w:tmpl w:val="4C5A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49"/>
    <w:rsid w:val="00004BAE"/>
    <w:rsid w:val="00005F2A"/>
    <w:rsid w:val="000169B4"/>
    <w:rsid w:val="0001768C"/>
    <w:rsid w:val="000428BB"/>
    <w:rsid w:val="00063C7F"/>
    <w:rsid w:val="00097BFC"/>
    <w:rsid w:val="000A05AC"/>
    <w:rsid w:val="000B70CA"/>
    <w:rsid w:val="000D0944"/>
    <w:rsid w:val="000F3DC8"/>
    <w:rsid w:val="00102687"/>
    <w:rsid w:val="001040FA"/>
    <w:rsid w:val="001234F4"/>
    <w:rsid w:val="00124E9C"/>
    <w:rsid w:val="00145AC7"/>
    <w:rsid w:val="0015135B"/>
    <w:rsid w:val="00153A84"/>
    <w:rsid w:val="0015517E"/>
    <w:rsid w:val="00181920"/>
    <w:rsid w:val="001A6046"/>
    <w:rsid w:val="001A6809"/>
    <w:rsid w:val="001D0D7A"/>
    <w:rsid w:val="001E11BD"/>
    <w:rsid w:val="001F063D"/>
    <w:rsid w:val="002052D2"/>
    <w:rsid w:val="00205ADE"/>
    <w:rsid w:val="00211F72"/>
    <w:rsid w:val="0025605F"/>
    <w:rsid w:val="00270F82"/>
    <w:rsid w:val="00291EAA"/>
    <w:rsid w:val="002A1C4B"/>
    <w:rsid w:val="002A5716"/>
    <w:rsid w:val="002D17A5"/>
    <w:rsid w:val="002F2039"/>
    <w:rsid w:val="0038109C"/>
    <w:rsid w:val="003B48E4"/>
    <w:rsid w:val="003C4179"/>
    <w:rsid w:val="003C4790"/>
    <w:rsid w:val="003F3149"/>
    <w:rsid w:val="003F31F1"/>
    <w:rsid w:val="004523AB"/>
    <w:rsid w:val="00453180"/>
    <w:rsid w:val="00455377"/>
    <w:rsid w:val="004848EE"/>
    <w:rsid w:val="00490C2F"/>
    <w:rsid w:val="004942A3"/>
    <w:rsid w:val="004964D3"/>
    <w:rsid w:val="004C24B1"/>
    <w:rsid w:val="004C6459"/>
    <w:rsid w:val="004F32DE"/>
    <w:rsid w:val="005068B1"/>
    <w:rsid w:val="00515A27"/>
    <w:rsid w:val="0052585B"/>
    <w:rsid w:val="00531220"/>
    <w:rsid w:val="00531A30"/>
    <w:rsid w:val="005436F3"/>
    <w:rsid w:val="00565A25"/>
    <w:rsid w:val="005932C4"/>
    <w:rsid w:val="005958F6"/>
    <w:rsid w:val="005C1588"/>
    <w:rsid w:val="005D2709"/>
    <w:rsid w:val="005E12A3"/>
    <w:rsid w:val="006252E0"/>
    <w:rsid w:val="00640B7C"/>
    <w:rsid w:val="006A22BE"/>
    <w:rsid w:val="006F1549"/>
    <w:rsid w:val="0071078C"/>
    <w:rsid w:val="00737896"/>
    <w:rsid w:val="00743F0B"/>
    <w:rsid w:val="007455F5"/>
    <w:rsid w:val="00754FEB"/>
    <w:rsid w:val="00761EF7"/>
    <w:rsid w:val="007D3261"/>
    <w:rsid w:val="007D416F"/>
    <w:rsid w:val="007F2010"/>
    <w:rsid w:val="008154D2"/>
    <w:rsid w:val="00865F49"/>
    <w:rsid w:val="00866ED5"/>
    <w:rsid w:val="00884FDB"/>
    <w:rsid w:val="008905B9"/>
    <w:rsid w:val="008917C6"/>
    <w:rsid w:val="008B1A5D"/>
    <w:rsid w:val="008C384C"/>
    <w:rsid w:val="008D41B0"/>
    <w:rsid w:val="0093220A"/>
    <w:rsid w:val="00951861"/>
    <w:rsid w:val="00951BB5"/>
    <w:rsid w:val="009716E8"/>
    <w:rsid w:val="00974976"/>
    <w:rsid w:val="00974D87"/>
    <w:rsid w:val="00986B1B"/>
    <w:rsid w:val="009E4F98"/>
    <w:rsid w:val="00A074FB"/>
    <w:rsid w:val="00A11836"/>
    <w:rsid w:val="00A2355D"/>
    <w:rsid w:val="00A47A5A"/>
    <w:rsid w:val="00A570C6"/>
    <w:rsid w:val="00AB48CE"/>
    <w:rsid w:val="00AC114A"/>
    <w:rsid w:val="00AD16C6"/>
    <w:rsid w:val="00AE79D5"/>
    <w:rsid w:val="00B26838"/>
    <w:rsid w:val="00B40841"/>
    <w:rsid w:val="00B539CC"/>
    <w:rsid w:val="00B56D4A"/>
    <w:rsid w:val="00BB7030"/>
    <w:rsid w:val="00BC48A5"/>
    <w:rsid w:val="00BF663E"/>
    <w:rsid w:val="00C26B75"/>
    <w:rsid w:val="00C37EE3"/>
    <w:rsid w:val="00C4302D"/>
    <w:rsid w:val="00C640A4"/>
    <w:rsid w:val="00C94C7E"/>
    <w:rsid w:val="00CB1865"/>
    <w:rsid w:val="00CC421E"/>
    <w:rsid w:val="00CF11FB"/>
    <w:rsid w:val="00CF1F40"/>
    <w:rsid w:val="00D017F8"/>
    <w:rsid w:val="00D16EA5"/>
    <w:rsid w:val="00D436CC"/>
    <w:rsid w:val="00DC6B7F"/>
    <w:rsid w:val="00DD4AAE"/>
    <w:rsid w:val="00DF68B8"/>
    <w:rsid w:val="00DF6C21"/>
    <w:rsid w:val="00E834F5"/>
    <w:rsid w:val="00E960C9"/>
    <w:rsid w:val="00EA2045"/>
    <w:rsid w:val="00ED1D55"/>
    <w:rsid w:val="00EE419B"/>
    <w:rsid w:val="00F15AEA"/>
    <w:rsid w:val="00F35645"/>
    <w:rsid w:val="00F63234"/>
    <w:rsid w:val="00F838D3"/>
    <w:rsid w:val="00F90C32"/>
    <w:rsid w:val="00F939F6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5C45"/>
  <w15:chartTrackingRefBased/>
  <w15:docId w15:val="{7707F2C1-6E8C-43B0-BB68-01FB1E1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B9"/>
  </w:style>
  <w:style w:type="paragraph" w:styleId="Footer">
    <w:name w:val="footer"/>
    <w:basedOn w:val="Normal"/>
    <w:link w:val="Foot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B9"/>
  </w:style>
  <w:style w:type="character" w:styleId="CommentReference">
    <w:name w:val="annotation reference"/>
    <w:basedOn w:val="DefaultParagraphFont"/>
    <w:uiPriority w:val="99"/>
    <w:semiHidden/>
    <w:unhideWhenUsed/>
    <w:rsid w:val="00AC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Elizabeth Meades</dc:creator>
  <cp:keywords/>
  <dc:description/>
  <cp:lastModifiedBy>Lydienne Valerie Ntjam-Moulet</cp:lastModifiedBy>
  <cp:revision>2</cp:revision>
  <cp:lastPrinted>2018-09-04T19:09:00Z</cp:lastPrinted>
  <dcterms:created xsi:type="dcterms:W3CDTF">2019-01-30T14:11:00Z</dcterms:created>
  <dcterms:modified xsi:type="dcterms:W3CDTF">2019-01-30T14:11:00Z</dcterms:modified>
</cp:coreProperties>
</file>