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Description w:val="The Details about Situations of Urgent Need of Assistance or Capacity Constraints:  Simplified Procurement Procedures and Guiding Principles displayed below"/>
      </w:tblPr>
      <w:tblGrid>
        <w:gridCol w:w="8710"/>
        <w:gridCol w:w="325"/>
        <w:gridCol w:w="325"/>
      </w:tblGrid>
      <w:tr w:rsidR="00034621" w:rsidRPr="00034621">
        <w:trPr>
          <w:tblCellSpacing w:w="0" w:type="dxa"/>
        </w:trPr>
        <w:tc>
          <w:tcPr>
            <w:tcW w:w="0" w:type="auto"/>
            <w:gridSpan w:val="3"/>
            <w:vAlign w:val="center"/>
            <w:hideMark/>
          </w:tcPr>
          <w:p w:rsidR="00034621" w:rsidRPr="00034621" w:rsidRDefault="00034621" w:rsidP="00034621">
            <w:pPr>
              <w:spacing w:before="100" w:beforeAutospacing="1" w:after="0" w:line="240" w:lineRule="auto"/>
              <w:outlineLvl w:val="0"/>
              <w:rPr>
                <w:rFonts w:ascii="Arial" w:eastAsia="Times New Roman" w:hAnsi="Arial" w:cs="Arial"/>
                <w:b/>
                <w:bCs/>
                <w:color w:val="204E84"/>
                <w:kern w:val="36"/>
                <w:sz w:val="27"/>
                <w:szCs w:val="27"/>
              </w:rPr>
            </w:pPr>
            <w:r w:rsidRPr="00034621">
              <w:rPr>
                <w:rFonts w:ascii="Arial" w:eastAsia="Times New Roman" w:hAnsi="Arial" w:cs="Arial"/>
                <w:b/>
                <w:bCs/>
                <w:color w:val="204E84"/>
                <w:kern w:val="36"/>
                <w:sz w:val="27"/>
                <w:szCs w:val="27"/>
              </w:rPr>
              <w:t>Situations of Urgent Need of Assistance or Capacity Constraints: Simplified Procurement Procedures and Guiding Principles</w:t>
            </w:r>
          </w:p>
        </w:tc>
      </w:tr>
      <w:tr w:rsidR="00034621" w:rsidRPr="00034621">
        <w:trPr>
          <w:tblCellSpacing w:w="0" w:type="dxa"/>
        </w:trPr>
        <w:tc>
          <w:tcPr>
            <w:tcW w:w="0" w:type="auto"/>
            <w:gridSpan w:val="3"/>
            <w:shd w:val="clear" w:color="auto" w:fill="6699CC"/>
            <w:vAlign w:val="center"/>
            <w:hideMark/>
          </w:tcPr>
          <w:p w:rsidR="00034621" w:rsidRPr="00034621" w:rsidRDefault="00034621" w:rsidP="00034621">
            <w:pPr>
              <w:spacing w:after="0" w:line="15" w:lineRule="atLeast"/>
              <w:rPr>
                <w:rFonts w:ascii="Arial" w:eastAsia="Times New Roman" w:hAnsi="Arial" w:cs="Arial"/>
                <w:color w:val="000000"/>
                <w:sz w:val="2"/>
                <w:szCs w:val="2"/>
              </w:rPr>
            </w:pPr>
            <w:r w:rsidRPr="00034621">
              <w:rPr>
                <w:rFonts w:ascii="Arial" w:eastAsia="Times New Roman" w:hAnsi="Arial" w:cs="Arial"/>
                <w:noProof/>
                <w:color w:val="000000"/>
                <w:sz w:val="2"/>
                <w:szCs w:val="2"/>
              </w:rPr>
              <w:drawing>
                <wp:inline distT="0" distB="0" distL="0" distR="0">
                  <wp:extent cx="99060" cy="7620"/>
                  <wp:effectExtent l="0" t="0" r="0" b="0"/>
                  <wp:docPr id="2" name="Picture 2" descr="http://intranet.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orldbank.org/shared/images/sh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034621" w:rsidRPr="00034621">
        <w:trPr>
          <w:tblCellSpacing w:w="0" w:type="dxa"/>
        </w:trPr>
        <w:tc>
          <w:tcPr>
            <w:tcW w:w="0" w:type="auto"/>
            <w:vAlign w:val="center"/>
            <w:hideMark/>
          </w:tcPr>
          <w:p w:rsidR="00034621" w:rsidRPr="00034621" w:rsidRDefault="00034621" w:rsidP="00034621">
            <w:pPr>
              <w:spacing w:after="0" w:line="240" w:lineRule="auto"/>
              <w:rPr>
                <w:rFonts w:ascii="Arial" w:eastAsia="Times New Roman" w:hAnsi="Arial" w:cs="Arial"/>
                <w:color w:val="000000"/>
                <w:sz w:val="18"/>
                <w:szCs w:val="18"/>
              </w:rPr>
            </w:pPr>
            <w:r w:rsidRPr="00034621">
              <w:rPr>
                <w:rFonts w:ascii="Arial" w:eastAsia="Times New Roman" w:hAnsi="Arial" w:cs="Arial"/>
                <w:noProof/>
                <w:color w:val="000000"/>
                <w:sz w:val="18"/>
                <w:szCs w:val="18"/>
              </w:rPr>
              <w:drawing>
                <wp:inline distT="0" distB="0" distL="0" distR="0">
                  <wp:extent cx="99060" cy="68580"/>
                  <wp:effectExtent l="0" t="0" r="0" b="0"/>
                  <wp:docPr id="1" name="Picture 1" descr="http://intranet.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orldbank.org/shared/images/sh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034621" w:rsidRPr="00034621" w:rsidRDefault="00034621" w:rsidP="00034621">
            <w:pPr>
              <w:spacing w:after="0" w:line="240" w:lineRule="auto"/>
              <w:rPr>
                <w:rFonts w:ascii="Times New Roman" w:eastAsia="Times New Roman" w:hAnsi="Times New Roman" w:cs="Times New Roman"/>
                <w:sz w:val="20"/>
                <w:szCs w:val="20"/>
              </w:rPr>
            </w:pPr>
          </w:p>
        </w:tc>
        <w:tc>
          <w:tcPr>
            <w:tcW w:w="0" w:type="auto"/>
            <w:vAlign w:val="center"/>
            <w:hideMark/>
          </w:tcPr>
          <w:p w:rsidR="00034621" w:rsidRPr="00034621" w:rsidRDefault="00034621" w:rsidP="00034621">
            <w:pPr>
              <w:spacing w:after="0" w:line="240" w:lineRule="auto"/>
              <w:rPr>
                <w:rFonts w:ascii="Times New Roman" w:eastAsia="Times New Roman" w:hAnsi="Times New Roman" w:cs="Times New Roman"/>
                <w:sz w:val="20"/>
                <w:szCs w:val="20"/>
              </w:rPr>
            </w:pPr>
          </w:p>
        </w:tc>
      </w:tr>
      <w:tr w:rsidR="00034621" w:rsidRPr="00034621">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80"/>
              <w:gridCol w:w="4490"/>
              <w:gridCol w:w="4490"/>
            </w:tblGrid>
            <w:tr w:rsidR="00034621" w:rsidRPr="00034621">
              <w:trPr>
                <w:tblCellSpacing w:w="0" w:type="dxa"/>
              </w:trPr>
              <w:tc>
                <w:tcPr>
                  <w:tcW w:w="0" w:type="auto"/>
                  <w:gridSpan w:val="3"/>
                  <w:tcBorders>
                    <w:top w:val="nil"/>
                    <w:left w:val="nil"/>
                    <w:bottom w:val="nil"/>
                    <w:right w:val="nil"/>
                  </w:tcBorders>
                  <w:shd w:val="clear" w:color="auto" w:fill="auto"/>
                  <w:vAlign w:val="center"/>
                  <w:hideMark/>
                </w:tcPr>
                <w:p w:rsidR="00034621" w:rsidRPr="00034621" w:rsidRDefault="00034621" w:rsidP="00034621">
                  <w:pPr>
                    <w:spacing w:after="0" w:line="240" w:lineRule="auto"/>
                    <w:rPr>
                      <w:rFonts w:ascii="Arial" w:eastAsia="Times New Roman" w:hAnsi="Arial" w:cs="Arial"/>
                      <w:color w:val="000000"/>
                      <w:sz w:val="18"/>
                      <w:szCs w:val="18"/>
                    </w:rPr>
                  </w:pPr>
                </w:p>
              </w:tc>
            </w:tr>
            <w:tr w:rsidR="00034621" w:rsidRPr="00034621">
              <w:trPr>
                <w:tblCellSpacing w:w="0" w:type="dxa"/>
              </w:trPr>
              <w:tc>
                <w:tcPr>
                  <w:tcW w:w="0" w:type="auto"/>
                  <w:gridSpan w:val="3"/>
                  <w:tcBorders>
                    <w:top w:val="nil"/>
                    <w:left w:val="nil"/>
                    <w:bottom w:val="nil"/>
                    <w:right w:val="nil"/>
                  </w:tcBorders>
                  <w:shd w:val="clear" w:color="auto" w:fill="6699CC"/>
                  <w:vAlign w:val="center"/>
                  <w:hideMark/>
                </w:tcPr>
                <w:p w:rsidR="00034621" w:rsidRPr="00034621" w:rsidRDefault="00034621" w:rsidP="00034621">
                  <w:pPr>
                    <w:spacing w:after="0" w:line="240" w:lineRule="auto"/>
                    <w:rPr>
                      <w:rFonts w:ascii="Times New Roman" w:eastAsia="Times New Roman" w:hAnsi="Times New Roman" w:cs="Times New Roman"/>
                      <w:sz w:val="20"/>
                      <w:szCs w:val="20"/>
                    </w:rPr>
                  </w:pPr>
                </w:p>
              </w:tc>
            </w:tr>
            <w:tr w:rsidR="00034621" w:rsidRPr="00034621">
              <w:trPr>
                <w:tblCellSpacing w:w="0" w:type="dxa"/>
              </w:trPr>
              <w:tc>
                <w:tcPr>
                  <w:tcW w:w="0" w:type="auto"/>
                  <w:tcBorders>
                    <w:top w:val="nil"/>
                    <w:left w:val="nil"/>
                    <w:bottom w:val="nil"/>
                    <w:right w:val="nil"/>
                  </w:tcBorders>
                  <w:shd w:val="clear" w:color="auto" w:fill="auto"/>
                  <w:vAlign w:val="center"/>
                  <w:hideMark/>
                </w:tcPr>
                <w:p w:rsidR="00034621" w:rsidRPr="00034621" w:rsidRDefault="00034621" w:rsidP="0003462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034621" w:rsidRPr="00034621" w:rsidRDefault="00034621" w:rsidP="00034621">
                  <w:pPr>
                    <w:spacing w:after="0" w:line="240" w:lineRule="auto"/>
                    <w:rPr>
                      <w:rFonts w:ascii="Arial" w:eastAsia="Times New Roman" w:hAnsi="Arial" w:cs="Arial"/>
                      <w:color w:val="000000"/>
                      <w:sz w:val="18"/>
                      <w:szCs w:val="18"/>
                    </w:rPr>
                  </w:pPr>
                  <w:r w:rsidRPr="00034621">
                    <w:rPr>
                      <w:rFonts w:ascii="Verdana" w:eastAsia="Times New Roman" w:hAnsi="Verdana" w:cs="Arial"/>
                      <w:color w:val="000000"/>
                      <w:sz w:val="20"/>
                      <w:szCs w:val="20"/>
                    </w:rPr>
                    <w:t> </w:t>
                  </w:r>
                </w:p>
              </w:tc>
              <w:tc>
                <w:tcPr>
                  <w:tcW w:w="0" w:type="auto"/>
                  <w:tcBorders>
                    <w:top w:val="nil"/>
                    <w:left w:val="nil"/>
                    <w:bottom w:val="nil"/>
                    <w:right w:val="nil"/>
                  </w:tcBorders>
                  <w:shd w:val="clear" w:color="auto" w:fill="auto"/>
                  <w:vAlign w:val="center"/>
                  <w:hideMark/>
                </w:tcPr>
                <w:p w:rsidR="00034621" w:rsidRPr="00034621" w:rsidRDefault="00034621" w:rsidP="00034621">
                  <w:pPr>
                    <w:spacing w:after="0" w:line="240" w:lineRule="auto"/>
                    <w:rPr>
                      <w:rFonts w:ascii="Arial" w:eastAsia="Times New Roman" w:hAnsi="Arial" w:cs="Arial"/>
                      <w:color w:val="000000"/>
                      <w:sz w:val="18"/>
                      <w:szCs w:val="18"/>
                    </w:rPr>
                  </w:pPr>
                  <w:r w:rsidRPr="00034621">
                    <w:rPr>
                      <w:rFonts w:ascii="Verdana" w:eastAsia="Times New Roman" w:hAnsi="Verdana" w:cs="Arial"/>
                      <w:color w:val="000000"/>
                      <w:sz w:val="20"/>
                      <w:szCs w:val="20"/>
                    </w:rPr>
                    <w:t> </w:t>
                  </w:r>
                </w:p>
              </w:tc>
            </w:tr>
            <w:tr w:rsidR="00034621" w:rsidRPr="00034621">
              <w:trPr>
                <w:tblCellSpacing w:w="0" w:type="dxa"/>
              </w:trPr>
              <w:tc>
                <w:tcPr>
                  <w:tcW w:w="0" w:type="auto"/>
                  <w:gridSpan w:val="3"/>
                  <w:tcBorders>
                    <w:top w:val="nil"/>
                    <w:left w:val="nil"/>
                    <w:bottom w:val="nil"/>
                    <w:right w:val="nil"/>
                  </w:tcBorders>
                  <w:shd w:val="clear" w:color="auto" w:fill="auto"/>
                  <w:vAlign w:val="center"/>
                  <w:hideMark/>
                </w:tcPr>
                <w:p w:rsidR="00034621" w:rsidRPr="00034621" w:rsidRDefault="00034621" w:rsidP="00034621">
                  <w:pPr>
                    <w:spacing w:after="0" w:line="240" w:lineRule="auto"/>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05/07/13</w:t>
                  </w:r>
                </w:p>
                <w:p w:rsidR="00034621" w:rsidRPr="00034621" w:rsidRDefault="00034621" w:rsidP="00034621">
                  <w:pPr>
                    <w:spacing w:after="0" w:line="240" w:lineRule="auto"/>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9360"/>
                  </w:tblGrid>
                  <w:tr w:rsidR="00034621" w:rsidRPr="0003462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4621" w:rsidRPr="00034621" w:rsidRDefault="00034621" w:rsidP="00034621">
                        <w:pPr>
                          <w:spacing w:line="240" w:lineRule="auto"/>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 xml:space="preserve">This guidance note and guiding principles have been prepared following the introduction of the new OP/BP 10.00 </w:t>
                        </w:r>
                        <w:r w:rsidRPr="00034621">
                          <w:rPr>
                            <w:rFonts w:ascii="Verdana" w:eastAsia="Times New Roman" w:hAnsi="Verdana" w:cs="Times New Roman"/>
                            <w:i/>
                            <w:color w:val="000000"/>
                            <w:sz w:val="20"/>
                            <w:szCs w:val="20"/>
                          </w:rPr>
                          <w:t>Investment Project Financing</w:t>
                        </w:r>
                        <w:r w:rsidRPr="00034621">
                          <w:rPr>
                            <w:rFonts w:ascii="Verdana" w:eastAsia="Times New Roman" w:hAnsi="Verdana" w:cs="Times New Roman"/>
                            <w:color w:val="000000"/>
                            <w:sz w:val="20"/>
                            <w:szCs w:val="20"/>
                          </w:rPr>
                          <w:t xml:space="preserve">.  </w:t>
                        </w:r>
                      </w:p>
                      <w:p w:rsidR="00034621" w:rsidRPr="00034621" w:rsidRDefault="00034621" w:rsidP="00034621">
                        <w:pPr>
                          <w:spacing w:line="240" w:lineRule="auto"/>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 xml:space="preserve">The guidance provided is applicable to the procurement of goods, works and services financed under projects where the borrower/beneficiary is deemed by the Bank to:  (i) be in urgent need of assistance because of a natural or man-made disaster or conflict; or (ii) experiences capacity constraints because of fragility or specific vulnerabilities (including for small states).  OP 11.00 </w:t>
                        </w:r>
                        <w:r w:rsidRPr="00034621">
                          <w:rPr>
                            <w:rFonts w:ascii="Verdana" w:eastAsia="Times New Roman" w:hAnsi="Verdana" w:cs="Times New Roman"/>
                            <w:i/>
                            <w:color w:val="000000"/>
                            <w:sz w:val="20"/>
                            <w:szCs w:val="20"/>
                          </w:rPr>
                          <w:t>Procurement</w:t>
                        </w:r>
                        <w:r w:rsidRPr="00034621">
                          <w:rPr>
                            <w:rFonts w:ascii="Verdana" w:eastAsia="Times New Roman" w:hAnsi="Verdana" w:cs="Times New Roman"/>
                            <w:color w:val="000000"/>
                            <w:sz w:val="20"/>
                            <w:szCs w:val="20"/>
                          </w:rPr>
                          <w:t xml:space="preserve">  has been amended to specifically accommodate these situations (paragraph 20 refers)</w:t>
                        </w:r>
                      </w:p>
                      <w:p w:rsidR="00034621" w:rsidRPr="00034621" w:rsidRDefault="00034621" w:rsidP="00034621">
                        <w:pPr>
                          <w:spacing w:line="240" w:lineRule="auto"/>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Notable among the issues addressed in the guidance notes are the following:</w:t>
                        </w:r>
                      </w:p>
                      <w:p w:rsidR="00034621" w:rsidRPr="00034621" w:rsidRDefault="00034621" w:rsidP="00034621">
                        <w:pPr>
                          <w:tabs>
                            <w:tab w:val="num" w:pos="4320"/>
                          </w:tabs>
                          <w:spacing w:line="240" w:lineRule="auto"/>
                          <w:ind w:left="720" w:hanging="360"/>
                          <w:rPr>
                            <w:rFonts w:ascii="Times New Roman" w:eastAsia="Times New Roman" w:hAnsi="Times New Roman" w:cs="Times New Roman"/>
                            <w:color w:val="000000"/>
                            <w:sz w:val="24"/>
                            <w:szCs w:val="24"/>
                          </w:rPr>
                        </w:pPr>
                        <w:r w:rsidRPr="00034621">
                          <w:rPr>
                            <w:rFonts w:ascii="Verdana" w:eastAsia="Symbol" w:hAnsi="Verdana" w:cs="Symbol"/>
                            <w:color w:val="000000"/>
                            <w:sz w:val="20"/>
                            <w:szCs w:val="18"/>
                          </w:rPr>
                          <w:t>·</w:t>
                        </w:r>
                        <w:r w:rsidRPr="00034621">
                          <w:rPr>
                            <w:rFonts w:ascii="Verdana" w:eastAsia="Symbol" w:hAnsi="Verdana" w:cs="Symbol"/>
                            <w:color w:val="000000"/>
                            <w:sz w:val="20"/>
                            <w:szCs w:val="20"/>
                          </w:rPr>
                          <w:t>    </w:t>
                        </w:r>
                        <w:r w:rsidRPr="00034621">
                          <w:rPr>
                            <w:rFonts w:ascii="Verdana" w:eastAsia="Times New Roman" w:hAnsi="Verdana" w:cs="Times New Roman"/>
                            <w:color w:val="000000"/>
                            <w:sz w:val="20"/>
                            <w:szCs w:val="20"/>
                          </w:rPr>
                          <w:t xml:space="preserve">Strong linking of procurement planning and implementation such that one cannot become effective without the other. </w:t>
                        </w:r>
                      </w:p>
                      <w:p w:rsidR="00034621" w:rsidRPr="00034621" w:rsidRDefault="00034621" w:rsidP="00034621">
                        <w:pPr>
                          <w:tabs>
                            <w:tab w:val="num" w:pos="4320"/>
                          </w:tabs>
                          <w:spacing w:line="240" w:lineRule="auto"/>
                          <w:ind w:left="720" w:hanging="360"/>
                          <w:rPr>
                            <w:rFonts w:ascii="Times New Roman" w:eastAsia="Times New Roman" w:hAnsi="Times New Roman" w:cs="Times New Roman"/>
                            <w:color w:val="000000"/>
                            <w:sz w:val="24"/>
                            <w:szCs w:val="24"/>
                          </w:rPr>
                        </w:pPr>
                        <w:r w:rsidRPr="00034621">
                          <w:rPr>
                            <w:rFonts w:ascii="Verdana" w:eastAsia="Symbol" w:hAnsi="Verdana" w:cs="Symbol"/>
                            <w:color w:val="000000"/>
                            <w:sz w:val="20"/>
                            <w:szCs w:val="18"/>
                          </w:rPr>
                          <w:t>·</w:t>
                        </w:r>
                        <w:r w:rsidRPr="00034621">
                          <w:rPr>
                            <w:rFonts w:ascii="Verdana" w:eastAsia="Symbol" w:hAnsi="Verdana" w:cs="Symbol"/>
                            <w:color w:val="000000"/>
                            <w:sz w:val="20"/>
                            <w:szCs w:val="20"/>
                          </w:rPr>
                          <w:t>    </w:t>
                        </w:r>
                        <w:r w:rsidRPr="00034621">
                          <w:rPr>
                            <w:rFonts w:ascii="Verdana" w:eastAsia="Times New Roman" w:hAnsi="Verdana" w:cs="Times New Roman"/>
                            <w:color w:val="000000"/>
                            <w:sz w:val="20"/>
                            <w:szCs w:val="20"/>
                          </w:rPr>
                          <w:t xml:space="preserve">Rapid Capacity Assessment </w:t>
                        </w:r>
                      </w:p>
                      <w:p w:rsidR="00034621" w:rsidRPr="00034621" w:rsidRDefault="00034621" w:rsidP="00034621">
                        <w:pPr>
                          <w:tabs>
                            <w:tab w:val="num" w:pos="4320"/>
                          </w:tabs>
                          <w:spacing w:line="240" w:lineRule="auto"/>
                          <w:ind w:left="720" w:hanging="360"/>
                          <w:rPr>
                            <w:rFonts w:ascii="Times New Roman" w:eastAsia="Times New Roman" w:hAnsi="Times New Roman" w:cs="Times New Roman"/>
                            <w:color w:val="000000"/>
                            <w:sz w:val="24"/>
                            <w:szCs w:val="24"/>
                          </w:rPr>
                        </w:pPr>
                        <w:r w:rsidRPr="00034621">
                          <w:rPr>
                            <w:rFonts w:ascii="Verdana" w:eastAsia="Symbol" w:hAnsi="Verdana" w:cs="Symbol"/>
                            <w:color w:val="000000"/>
                            <w:sz w:val="20"/>
                            <w:szCs w:val="18"/>
                          </w:rPr>
                          <w:t>·</w:t>
                        </w:r>
                        <w:r w:rsidRPr="00034621">
                          <w:rPr>
                            <w:rFonts w:ascii="Verdana" w:eastAsia="Symbol" w:hAnsi="Verdana" w:cs="Symbol"/>
                            <w:color w:val="000000"/>
                            <w:sz w:val="20"/>
                            <w:szCs w:val="20"/>
                          </w:rPr>
                          <w:t>    </w:t>
                        </w:r>
                        <w:r w:rsidRPr="00034621">
                          <w:rPr>
                            <w:rFonts w:ascii="Verdana" w:eastAsia="Times New Roman" w:hAnsi="Verdana" w:cs="Times New Roman"/>
                            <w:color w:val="000000"/>
                            <w:sz w:val="20"/>
                            <w:szCs w:val="20"/>
                          </w:rPr>
                          <w:t>Management and use of UN agencies</w:t>
                        </w:r>
                      </w:p>
                      <w:p w:rsidR="00034621" w:rsidRPr="00034621" w:rsidRDefault="00034621" w:rsidP="00034621">
                        <w:pPr>
                          <w:tabs>
                            <w:tab w:val="num" w:pos="4320"/>
                          </w:tabs>
                          <w:spacing w:line="240" w:lineRule="auto"/>
                          <w:ind w:left="720" w:hanging="360"/>
                          <w:rPr>
                            <w:rFonts w:ascii="Times New Roman" w:eastAsia="Times New Roman" w:hAnsi="Times New Roman" w:cs="Times New Roman"/>
                            <w:color w:val="000000"/>
                            <w:sz w:val="24"/>
                            <w:szCs w:val="24"/>
                          </w:rPr>
                        </w:pPr>
                        <w:r w:rsidRPr="00034621">
                          <w:rPr>
                            <w:rFonts w:ascii="Verdana" w:eastAsia="Symbol" w:hAnsi="Verdana" w:cs="Symbol"/>
                            <w:color w:val="000000"/>
                            <w:sz w:val="20"/>
                            <w:szCs w:val="18"/>
                          </w:rPr>
                          <w:t>·</w:t>
                        </w:r>
                        <w:r w:rsidRPr="00034621">
                          <w:rPr>
                            <w:rFonts w:ascii="Verdana" w:eastAsia="Symbol" w:hAnsi="Verdana" w:cs="Symbol"/>
                            <w:color w:val="000000"/>
                            <w:sz w:val="20"/>
                            <w:szCs w:val="20"/>
                          </w:rPr>
                          <w:t>    </w:t>
                        </w:r>
                        <w:r w:rsidRPr="00034621">
                          <w:rPr>
                            <w:rFonts w:ascii="Verdana" w:eastAsia="Times New Roman" w:hAnsi="Verdana" w:cs="Times New Roman"/>
                            <w:color w:val="000000"/>
                            <w:sz w:val="20"/>
                            <w:szCs w:val="20"/>
                          </w:rPr>
                          <w:t>Simplification on certain procurement policies and procedures which can now be cleared, on an exceptional basis, by the RPM. These include:</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proofErr w:type="gramStart"/>
                        <w:r w:rsidRPr="00034621">
                          <w:rPr>
                            <w:rFonts w:ascii="Verdana" w:eastAsia="Times New Roman" w:hAnsi="Verdana" w:cs="Times New Roman"/>
                            <w:color w:val="000000"/>
                            <w:sz w:val="20"/>
                            <w:szCs w:val="20"/>
                          </w:rPr>
                          <w:t>o</w:t>
                        </w:r>
                        <w:proofErr w:type="gramEnd"/>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 xml:space="preserve">Selection Based on the Consultants’ Qualifications (CQS) &gt; $300,000. </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o</w:t>
                        </w:r>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 xml:space="preserve">Shopping thresholds for goods with a contract value &gt;$500,000 and simple works with a contract value&gt; $1,000,000 </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proofErr w:type="gramStart"/>
                        <w:r w:rsidRPr="00034621">
                          <w:rPr>
                            <w:rFonts w:ascii="Verdana" w:eastAsia="Times New Roman" w:hAnsi="Verdana" w:cs="Times New Roman"/>
                            <w:color w:val="000000"/>
                            <w:sz w:val="20"/>
                            <w:szCs w:val="20"/>
                          </w:rPr>
                          <w:t>o</w:t>
                        </w:r>
                        <w:proofErr w:type="gramEnd"/>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Shortlists of consultants where fewer than six firms have expressed interest to submit requests for proposals and where a wide geographic spread of shortlisted consultants cannot be achieved.</w:t>
                        </w:r>
                        <w:r w:rsidRPr="00034621">
                          <w:rPr>
                            <w:rFonts w:ascii="Verdana" w:eastAsia="Times New Roman" w:hAnsi="Verdana" w:cs="Times New Roman"/>
                            <w:color w:val="000000"/>
                            <w:sz w:val="24"/>
                            <w:szCs w:val="24"/>
                          </w:rPr>
                          <w:t xml:space="preserve"> </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proofErr w:type="gramStart"/>
                        <w:r w:rsidRPr="00034621">
                          <w:rPr>
                            <w:rFonts w:ascii="Verdana" w:eastAsia="Times New Roman" w:hAnsi="Verdana" w:cs="Times New Roman"/>
                            <w:color w:val="000000"/>
                            <w:sz w:val="20"/>
                            <w:szCs w:val="20"/>
                          </w:rPr>
                          <w:t>o</w:t>
                        </w:r>
                        <w:proofErr w:type="gramEnd"/>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 xml:space="preserve">Higher prior review thresholds than those currently applied under normal operations. Particularly for small value </w:t>
                        </w:r>
                        <w:proofErr w:type="gramStart"/>
                        <w:r w:rsidRPr="00034621">
                          <w:rPr>
                            <w:rFonts w:ascii="Verdana" w:eastAsia="Times New Roman" w:hAnsi="Verdana" w:cs="Times New Roman"/>
                            <w:color w:val="000000"/>
                            <w:sz w:val="20"/>
                            <w:szCs w:val="20"/>
                          </w:rPr>
                          <w:t>contracts</w:t>
                        </w:r>
                        <w:proofErr w:type="gramEnd"/>
                        <w:r w:rsidRPr="00034621">
                          <w:rPr>
                            <w:rFonts w:ascii="Times New Roman" w:eastAsia="Times New Roman" w:hAnsi="Times New Roman" w:cs="Times New Roman"/>
                            <w:color w:val="000000"/>
                            <w:sz w:val="24"/>
                            <w:szCs w:val="24"/>
                            <w:vertAlign w:val="superscript"/>
                          </w:rPr>
                          <w:footnoteReference w:id="1"/>
                        </w:r>
                        <w:r w:rsidRPr="00034621">
                          <w:rPr>
                            <w:rFonts w:ascii="Verdana" w:eastAsia="Times New Roman" w:hAnsi="Verdana" w:cs="Times New Roman"/>
                            <w:color w:val="000000"/>
                            <w:sz w:val="20"/>
                            <w:szCs w:val="20"/>
                            <w:vertAlign w:val="superscript"/>
                          </w:rPr>
                          <w:t>[1]</w:t>
                        </w:r>
                        <w:r w:rsidRPr="00034621">
                          <w:rPr>
                            <w:rFonts w:ascii="Verdana" w:eastAsia="Times New Roman" w:hAnsi="Verdana" w:cs="Times New Roman"/>
                            <w:color w:val="000000"/>
                            <w:sz w:val="20"/>
                            <w:szCs w:val="20"/>
                          </w:rPr>
                          <w:t xml:space="preserve">. </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proofErr w:type="gramStart"/>
                        <w:r w:rsidRPr="00034621">
                          <w:rPr>
                            <w:rFonts w:ascii="Verdana" w:eastAsia="Times New Roman" w:hAnsi="Verdana" w:cs="Times New Roman"/>
                            <w:color w:val="000000"/>
                            <w:sz w:val="20"/>
                            <w:szCs w:val="20"/>
                          </w:rPr>
                          <w:t>o</w:t>
                        </w:r>
                        <w:proofErr w:type="gramEnd"/>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Use of simplified procedures and documentation where NCB or ICB procedures are considered to be inappropriate or too complex due to weak borrower implementation capacity, and where there is clearly no international market appetite to participate in bidding.</w:t>
                        </w:r>
                      </w:p>
                      <w:p w:rsidR="00034621" w:rsidRPr="00034621" w:rsidRDefault="00034621" w:rsidP="00034621">
                        <w:pPr>
                          <w:tabs>
                            <w:tab w:val="num" w:pos="5040"/>
                          </w:tabs>
                          <w:spacing w:line="240" w:lineRule="auto"/>
                          <w:ind w:left="1440" w:hanging="360"/>
                          <w:rPr>
                            <w:rFonts w:ascii="Times New Roman" w:eastAsia="Times New Roman" w:hAnsi="Times New Roman" w:cs="Times New Roman"/>
                            <w:color w:val="000000"/>
                            <w:sz w:val="24"/>
                            <w:szCs w:val="24"/>
                          </w:rPr>
                        </w:pPr>
                        <w:r w:rsidRPr="00034621">
                          <w:rPr>
                            <w:rFonts w:ascii="Verdana" w:eastAsia="Times New Roman" w:hAnsi="Verdana" w:cs="Times New Roman"/>
                            <w:color w:val="000000"/>
                            <w:sz w:val="20"/>
                            <w:szCs w:val="20"/>
                          </w:rPr>
                          <w:t>o</w:t>
                        </w:r>
                        <w:r w:rsidRPr="00034621">
                          <w:rPr>
                            <w:rFonts w:ascii="Verdana" w:eastAsia="Times New Roman" w:hAnsi="Verdana" w:cs="Times New Roman"/>
                            <w:color w:val="000000"/>
                            <w:sz w:val="14"/>
                            <w:szCs w:val="14"/>
                          </w:rPr>
                          <w:t>     </w:t>
                        </w:r>
                        <w:r w:rsidRPr="00034621">
                          <w:rPr>
                            <w:rFonts w:ascii="Verdana" w:eastAsia="Times New Roman" w:hAnsi="Verdana" w:cs="Times New Roman"/>
                            <w:color w:val="000000"/>
                            <w:sz w:val="20"/>
                            <w:szCs w:val="20"/>
                          </w:rPr>
                          <w:t xml:space="preserve">Simplification of the pre and post qualification criteria requirements of the Bank’s SBDs for both Large works and Small Works in order to optimize the participation of  available local or regional contractors. In particular, adapting </w:t>
                        </w:r>
                        <w:r w:rsidRPr="00034621">
                          <w:rPr>
                            <w:rFonts w:ascii="Verdana" w:eastAsia="Times New Roman" w:hAnsi="Verdana" w:cs="Times New Roman"/>
                            <w:color w:val="000000"/>
                            <w:sz w:val="20"/>
                            <w:szCs w:val="20"/>
                          </w:rPr>
                          <w:lastRenderedPageBreak/>
                          <w:t xml:space="preserve">the qualification requirements to match the qualifications of available and competent local and regional contractors. </w:t>
                        </w:r>
                      </w:p>
                    </w:tc>
                  </w:tr>
                </w:tbl>
                <w:p w:rsidR="00034621" w:rsidRPr="00034621" w:rsidRDefault="00034621" w:rsidP="00034621">
                  <w:pPr>
                    <w:spacing w:before="100" w:beforeAutospacing="1" w:after="100" w:afterAutospacing="1" w:line="240" w:lineRule="auto"/>
                    <w:jc w:val="center"/>
                    <w:rPr>
                      <w:rFonts w:ascii="Arial" w:eastAsia="Times New Roman" w:hAnsi="Arial" w:cs="Arial"/>
                      <w:color w:val="000000"/>
                      <w:sz w:val="18"/>
                      <w:szCs w:val="18"/>
                    </w:rPr>
                  </w:pPr>
                  <w:r w:rsidRPr="00034621">
                    <w:rPr>
                      <w:rFonts w:ascii="Arial" w:eastAsia="Times New Roman" w:hAnsi="Arial" w:cs="Arial"/>
                      <w:color w:val="000000"/>
                      <w:sz w:val="18"/>
                      <w:szCs w:val="18"/>
                    </w:rPr>
                    <w:lastRenderedPageBreak/>
                    <w:t> </w:t>
                  </w:r>
                  <w:r w:rsidRPr="00034621">
                    <w:rPr>
                      <w:rFonts w:ascii="Verdana" w:eastAsia="Times New Roman" w:hAnsi="Verdana" w:cs="Arial"/>
                      <w:b/>
                      <w:bCs/>
                      <w:color w:val="000000"/>
                      <w:sz w:val="20"/>
                      <w:szCs w:val="20"/>
                    </w:rPr>
                    <w:t xml:space="preserve">Guidance Note:   </w:t>
                  </w:r>
                  <w:hyperlink r:id="rId7" w:tooltip="Letter" w:history="1">
                    <w:r w:rsidRPr="00034621">
                      <w:rPr>
                        <w:rFonts w:ascii="Verdana" w:eastAsia="Times New Roman" w:hAnsi="Verdana" w:cs="Arial"/>
                        <w:color w:val="000099"/>
                        <w:sz w:val="18"/>
                        <w:szCs w:val="18"/>
                        <w:u w:val="single"/>
                      </w:rPr>
                      <w:t>Letter</w:t>
                    </w:r>
                  </w:hyperlink>
                  <w:r w:rsidRPr="00034621">
                    <w:rPr>
                      <w:rFonts w:ascii="Verdana" w:eastAsia="Times New Roman" w:hAnsi="Verdana" w:cs="Arial"/>
                      <w:color w:val="000000"/>
                      <w:sz w:val="18"/>
                      <w:szCs w:val="18"/>
                    </w:rPr>
                    <w:t xml:space="preserve"> | </w:t>
                  </w:r>
                  <w:hyperlink r:id="rId8" w:tooltip="PDF" w:history="1">
                    <w:r w:rsidRPr="00034621">
                      <w:rPr>
                        <w:rFonts w:ascii="Verdana" w:eastAsia="Times New Roman" w:hAnsi="Verdana" w:cs="Arial"/>
                        <w:color w:val="000099"/>
                        <w:sz w:val="18"/>
                        <w:szCs w:val="18"/>
                        <w:u w:val="single"/>
                      </w:rPr>
                      <w:t>PDF</w:t>
                    </w:r>
                  </w:hyperlink>
                </w:p>
                <w:p w:rsidR="00034621" w:rsidRPr="00034621" w:rsidRDefault="00034621" w:rsidP="00034621">
                  <w:pPr>
                    <w:spacing w:before="100" w:beforeAutospacing="1" w:after="100" w:afterAutospacing="1" w:line="240" w:lineRule="auto"/>
                    <w:jc w:val="center"/>
                    <w:rPr>
                      <w:rFonts w:ascii="Arial" w:eastAsia="Times New Roman" w:hAnsi="Arial" w:cs="Arial"/>
                      <w:color w:val="000000"/>
                      <w:sz w:val="18"/>
                      <w:szCs w:val="18"/>
                    </w:rPr>
                  </w:pPr>
                  <w:r w:rsidRPr="00034621">
                    <w:rPr>
                      <w:rFonts w:ascii="Verdana" w:eastAsia="Times New Roman" w:hAnsi="Verdana" w:cs="Arial"/>
                      <w:b/>
                      <w:bCs/>
                      <w:color w:val="000000"/>
                      <w:sz w:val="20"/>
                      <w:szCs w:val="20"/>
                    </w:rPr>
                    <w:t>Guiding Principles:</w:t>
                  </w:r>
                  <w:r w:rsidRPr="00034621">
                    <w:rPr>
                      <w:rFonts w:ascii="Verdana" w:eastAsia="Times New Roman" w:hAnsi="Verdana" w:cs="Arial"/>
                      <w:color w:val="000000"/>
                      <w:sz w:val="20"/>
                      <w:szCs w:val="20"/>
                    </w:rPr>
                    <w:t xml:space="preserve"> </w:t>
                  </w:r>
                  <w:hyperlink r:id="rId9" w:tooltip="Letter" w:history="1">
                    <w:r w:rsidRPr="00034621">
                      <w:rPr>
                        <w:rFonts w:ascii="Verdana" w:eastAsia="Times New Roman" w:hAnsi="Verdana" w:cs="Arial"/>
                        <w:color w:val="000099"/>
                        <w:sz w:val="20"/>
                        <w:szCs w:val="20"/>
                        <w:u w:val="single"/>
                      </w:rPr>
                      <w:t>Le</w:t>
                    </w:r>
                    <w:r w:rsidRPr="00034621">
                      <w:rPr>
                        <w:rFonts w:ascii="Verdana" w:eastAsia="Times New Roman" w:hAnsi="Verdana" w:cs="Arial"/>
                        <w:color w:val="000099"/>
                        <w:sz w:val="20"/>
                        <w:szCs w:val="20"/>
                        <w:u w:val="single"/>
                      </w:rPr>
                      <w:t>t</w:t>
                    </w:r>
                    <w:r w:rsidRPr="00034621">
                      <w:rPr>
                        <w:rFonts w:ascii="Verdana" w:eastAsia="Times New Roman" w:hAnsi="Verdana" w:cs="Arial"/>
                        <w:color w:val="000099"/>
                        <w:sz w:val="20"/>
                        <w:szCs w:val="20"/>
                        <w:u w:val="single"/>
                      </w:rPr>
                      <w:t>ter</w:t>
                    </w:r>
                  </w:hyperlink>
                  <w:r w:rsidRPr="00034621">
                    <w:rPr>
                      <w:rFonts w:ascii="Verdana" w:eastAsia="Times New Roman" w:hAnsi="Verdana" w:cs="Arial"/>
                      <w:color w:val="000000"/>
                      <w:sz w:val="20"/>
                      <w:szCs w:val="20"/>
                    </w:rPr>
                    <w:t xml:space="preserve"> | </w:t>
                  </w:r>
                  <w:hyperlink r:id="rId10" w:tooltip="PDF" w:history="1">
                    <w:r w:rsidRPr="00034621">
                      <w:rPr>
                        <w:rFonts w:ascii="Verdana" w:eastAsia="Times New Roman" w:hAnsi="Verdana" w:cs="Arial"/>
                        <w:color w:val="000099"/>
                        <w:sz w:val="20"/>
                        <w:szCs w:val="20"/>
                        <w:u w:val="single"/>
                      </w:rPr>
                      <w:t>PDF</w:t>
                    </w:r>
                  </w:hyperlink>
                </w:p>
              </w:tc>
            </w:tr>
          </w:tbl>
          <w:p w:rsidR="00034621" w:rsidRPr="00034621" w:rsidRDefault="00034621" w:rsidP="00034621">
            <w:pPr>
              <w:spacing w:after="0" w:line="240" w:lineRule="auto"/>
              <w:rPr>
                <w:rFonts w:ascii="Arial" w:eastAsia="Times New Roman" w:hAnsi="Arial" w:cs="Arial"/>
                <w:color w:val="000000"/>
                <w:sz w:val="18"/>
                <w:szCs w:val="18"/>
              </w:rPr>
            </w:pPr>
          </w:p>
          <w:p w:rsidR="00034621" w:rsidRPr="00034621" w:rsidRDefault="00034621" w:rsidP="00034621">
            <w:pPr>
              <w:spacing w:after="0" w:line="240" w:lineRule="auto"/>
              <w:rPr>
                <w:rFonts w:ascii="Arial" w:eastAsia="Times New Roman" w:hAnsi="Arial" w:cs="Arial"/>
                <w:color w:val="000000"/>
                <w:sz w:val="18"/>
                <w:szCs w:val="18"/>
              </w:rPr>
            </w:pPr>
            <w:r w:rsidRPr="00034621">
              <w:rPr>
                <w:rFonts w:ascii="Arial" w:eastAsia="Times New Roman" w:hAnsi="Arial" w:cs="Arial"/>
                <w:color w:val="000000"/>
                <w:sz w:val="18"/>
                <w:szCs w:val="18"/>
              </w:rPr>
              <w:pict>
                <v:rect id="_x0000_i1025" style="width:154.45pt;height:.75pt" o:hrpct="330" o:hralign="center" o:hrstd="t" o:hrnoshade="t" o:hr="t" fillcolor="#ccc" stroked="f"/>
              </w:pict>
            </w:r>
          </w:p>
        </w:tc>
      </w:tr>
    </w:tbl>
    <w:p w:rsidR="000606C1" w:rsidRDefault="000606C1">
      <w:bookmarkStart w:id="0" w:name="_GoBack"/>
      <w:bookmarkEnd w:id="0"/>
    </w:p>
    <w:sectPr w:rsidR="00060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0E" w:rsidRDefault="0027120E" w:rsidP="00034621">
      <w:pPr>
        <w:spacing w:after="0" w:line="240" w:lineRule="auto"/>
      </w:pPr>
      <w:r>
        <w:separator/>
      </w:r>
    </w:p>
  </w:endnote>
  <w:endnote w:type="continuationSeparator" w:id="0">
    <w:p w:rsidR="0027120E" w:rsidRDefault="0027120E" w:rsidP="0003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0E" w:rsidRDefault="0027120E" w:rsidP="00034621">
      <w:pPr>
        <w:spacing w:after="0" w:line="240" w:lineRule="auto"/>
      </w:pPr>
      <w:r>
        <w:separator/>
      </w:r>
    </w:p>
  </w:footnote>
  <w:footnote w:type="continuationSeparator" w:id="0">
    <w:p w:rsidR="0027120E" w:rsidRDefault="0027120E" w:rsidP="00034621">
      <w:pPr>
        <w:spacing w:after="0" w:line="240" w:lineRule="auto"/>
      </w:pPr>
      <w:r>
        <w:continuationSeparator/>
      </w:r>
    </w:p>
  </w:footnote>
  <w:footnote w:id="1">
    <w:p w:rsidR="00034621" w:rsidRDefault="00034621" w:rsidP="00034621">
      <w:pPr>
        <w:pStyle w:val="FootnoteText"/>
        <w:spacing w:before="0" w:beforeAutospacing="0" w:after="0" w:afterAutospacing="0"/>
        <w:rPr>
          <w:rFonts w:ascii="Arial" w:hAnsi="Arial" w:cs="Arial"/>
          <w:color w:val="000000"/>
          <w:sz w:val="18"/>
          <w:szCs w:val="18"/>
        </w:rPr>
      </w:pPr>
      <w:r>
        <w:rPr>
          <w:rStyle w:val="FootnoteReference"/>
          <w:rFonts w:ascii="Arial" w:hAnsi="Arial" w:cs="Arial"/>
          <w:color w:val="000000"/>
          <w:sz w:val="18"/>
          <w:szCs w:val="18"/>
        </w:rPr>
        <w:footnoteRef/>
      </w:r>
      <w:r>
        <w:rPr>
          <w:rStyle w:val="FootnoteReference"/>
          <w:rFonts w:ascii="Arial" w:hAnsi="Arial" w:cs="Arial"/>
          <w:color w:val="000000"/>
          <w:sz w:val="18"/>
          <w:szCs w:val="18"/>
        </w:rPr>
        <w:t>[1]</w:t>
      </w:r>
      <w:r>
        <w:rPr>
          <w:rFonts w:ascii="Calibri" w:hAnsi="Calibri" w:cs="Arial"/>
          <w:color w:val="000000"/>
          <w:sz w:val="20"/>
          <w:szCs w:val="20"/>
        </w:rPr>
        <w:t xml:space="preserve"> This flexibility must not allow the review thresholds to exceed the current mandatory thresholds required for OPRC review as defined in BP11.0 Annex D</w:t>
      </w:r>
      <w:r>
        <w:rPr>
          <w:rFonts w:ascii="Arial" w:hAnsi="Arial" w:cs="Arial"/>
          <w:color w:val="000000"/>
          <w:sz w:val="18"/>
          <w:szCs w:val="18"/>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21"/>
    <w:rsid w:val="00034621"/>
    <w:rsid w:val="000606C1"/>
    <w:rsid w:val="0027120E"/>
    <w:rsid w:val="003B05B7"/>
    <w:rsid w:val="00742F2E"/>
    <w:rsid w:val="00DD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945F-BDAB-4640-9192-3D37AFE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4621"/>
    <w:pPr>
      <w:spacing w:before="100" w:beforeAutospacing="1" w:after="0" w:line="240" w:lineRule="auto"/>
      <w:outlineLvl w:val="0"/>
    </w:pPr>
    <w:rPr>
      <w:rFonts w:ascii="Arial" w:eastAsia="Times New Roman" w:hAnsi="Arial" w:cs="Arial"/>
      <w:b/>
      <w:bCs/>
      <w:color w:val="204E84"/>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21"/>
    <w:rPr>
      <w:rFonts w:ascii="Arial" w:eastAsia="Times New Roman" w:hAnsi="Arial" w:cs="Arial"/>
      <w:b/>
      <w:bCs/>
      <w:color w:val="204E84"/>
      <w:kern w:val="36"/>
      <w:sz w:val="27"/>
      <w:szCs w:val="27"/>
    </w:rPr>
  </w:style>
  <w:style w:type="paragraph" w:styleId="NormalWeb">
    <w:name w:val="Normal (Web)"/>
    <w:basedOn w:val="Normal"/>
    <w:uiPriority w:val="99"/>
    <w:semiHidden/>
    <w:unhideWhenUsed/>
    <w:rsid w:val="000346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621"/>
    <w:rPr>
      <w:b/>
      <w:bCs/>
    </w:rPr>
  </w:style>
  <w:style w:type="character" w:styleId="Emphasis">
    <w:name w:val="Emphasis"/>
    <w:basedOn w:val="DefaultParagraphFont"/>
    <w:uiPriority w:val="20"/>
    <w:qFormat/>
    <w:rsid w:val="00034621"/>
    <w:rPr>
      <w:i/>
      <w:iCs/>
    </w:rPr>
  </w:style>
  <w:style w:type="paragraph" w:styleId="FootnoteText">
    <w:name w:val="footnote text"/>
    <w:basedOn w:val="Normal"/>
    <w:link w:val="FootnoteTextChar"/>
    <w:uiPriority w:val="99"/>
    <w:semiHidden/>
    <w:unhideWhenUsed/>
    <w:rsid w:val="00034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462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7935">
      <w:bodyDiv w:val="1"/>
      <w:marLeft w:val="0"/>
      <w:marRight w:val="0"/>
      <w:marTop w:val="0"/>
      <w:marBottom w:val="0"/>
      <w:divBdr>
        <w:top w:val="none" w:sz="0" w:space="0" w:color="auto"/>
        <w:left w:val="none" w:sz="0" w:space="0" w:color="auto"/>
        <w:bottom w:val="none" w:sz="0" w:space="0" w:color="auto"/>
        <w:right w:val="none" w:sz="0" w:space="0" w:color="auto"/>
      </w:divBdr>
      <w:divsChild>
        <w:div w:id="154602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INTPROCUREMENT/Resources/SimplifiedProcurementProceduresUnderOP10-April2013.pdf" TargetMode="External"/><Relationship Id="rId3" Type="http://schemas.openxmlformats.org/officeDocument/2006/relationships/webSettings" Target="webSettings.xml"/><Relationship Id="rId7" Type="http://schemas.openxmlformats.org/officeDocument/2006/relationships/hyperlink" Target="http://siteresources.worldbank.org/INTPROCUREMENT/Resources/SimplifiedProcurementProceduresUnderOP10-April2013.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eresources.worldbank.org/INTPROCUREMENT/Resources/FCS_ProcurementPositionPaper-v2.pdf" TargetMode="External"/><Relationship Id="rId4" Type="http://schemas.openxmlformats.org/officeDocument/2006/relationships/footnotes" Target="footnotes.xml"/><Relationship Id="rId9" Type="http://schemas.openxmlformats.org/officeDocument/2006/relationships/hyperlink" Target="http://siteresources.worldbank.org/INTPROCUREMENT/Resources/FCS_ProcurementPositionPaper-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Marie Bumgarner</dc:creator>
  <cp:keywords/>
  <dc:description/>
  <cp:lastModifiedBy>Kimberly Marie Bumgarner</cp:lastModifiedBy>
  <cp:revision>1</cp:revision>
  <dcterms:created xsi:type="dcterms:W3CDTF">2016-03-28T19:25:00Z</dcterms:created>
  <dcterms:modified xsi:type="dcterms:W3CDTF">2016-03-28T19:27:00Z</dcterms:modified>
</cp:coreProperties>
</file>