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6"/>
        <w:gridCol w:w="55"/>
        <w:gridCol w:w="2832"/>
        <w:gridCol w:w="38"/>
        <w:gridCol w:w="3075"/>
        <w:gridCol w:w="15"/>
        <w:gridCol w:w="7"/>
      </w:tblGrid>
      <w:tr w:rsidR="00F35AA6" w:rsidRPr="007149CE" w:rsidTr="007F5EEB">
        <w:trPr>
          <w:gridAfter w:val="1"/>
          <w:wAfter w:w="7" w:type="dxa"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                                                                      </w:t>
            </w:r>
            <w:r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Effective January 1, 201</w:t>
            </w:r>
            <w:r w:rsidR="00CF78B7">
              <w:rPr>
                <w:rFonts w:ascii="Trebuchet MS" w:hAnsi="Trebuchet MS"/>
                <w:b/>
                <w:snapToGrid w:val="0"/>
                <w:sz w:val="16"/>
                <w:szCs w:val="16"/>
              </w:rPr>
              <w:t>8</w:t>
            </w:r>
          </w:p>
        </w:tc>
        <w:tc>
          <w:tcPr>
            <w:tcW w:w="2925" w:type="dxa"/>
            <w:gridSpan w:val="3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br/>
            </w:r>
            <w:r w:rsidR="00B27B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Services rendered in the U.S. (In-Network)</w:t>
            </w:r>
          </w:p>
        </w:tc>
        <w:tc>
          <w:tcPr>
            <w:tcW w:w="3090" w:type="dxa"/>
            <w:gridSpan w:val="2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CF78B7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Services rendered in the U.S. (</w:t>
            </w:r>
            <w:r w:rsidR="00F35AA6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Out-of-Network</w:t>
            </w: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br/>
              <w:t>Services rendered outside the U.S.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 plan year is a calendar year, January 1 through December 31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person)</w:t>
            </w:r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 600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family)</w:t>
            </w:r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1,200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ut-of-pocket limits (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ffice visit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co-payments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and dental services do not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accrue toward the out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pocket limits)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5,250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year 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family</w:t>
            </w:r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10,500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F35AA6" w:rsidRPr="00B66241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Office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</w:t>
            </w: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isits</w:t>
            </w:r>
          </w:p>
        </w:tc>
      </w:tr>
      <w:tr w:rsidR="00F35AA6" w:rsidRPr="007149CE" w:rsidTr="00CF3F1B">
        <w:trPr>
          <w:cantSplit/>
        </w:trPr>
        <w:tc>
          <w:tcPr>
            <w:tcW w:w="3776" w:type="dxa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Office visits for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i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llness or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pecialist</w:t>
            </w:r>
          </w:p>
        </w:tc>
        <w:tc>
          <w:tcPr>
            <w:tcW w:w="2887" w:type="dxa"/>
            <w:gridSpan w:val="2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13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unless the visit is for Preventive Care services outlined in the Preventive Care Guide, then 100%</w:t>
            </w:r>
          </w:p>
        </w:tc>
      </w:tr>
      <w:tr w:rsidR="00F35AA6" w:rsidRPr="007149CE" w:rsidTr="00CF3F1B">
        <w:trPr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annual physical and d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efined preventive services*</w:t>
            </w:r>
          </w:p>
        </w:tc>
        <w:tc>
          <w:tcPr>
            <w:tcW w:w="2887" w:type="dxa"/>
            <w:gridSpan w:val="2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2"/>
          <w:wAfter w:w="22" w:type="dxa"/>
          <w:cantSplit/>
        </w:trPr>
        <w:tc>
          <w:tcPr>
            <w:tcW w:w="9776" w:type="dxa"/>
            <w:gridSpan w:val="5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F35AA6" w:rsidRPr="007149CE" w:rsidTr="00072FCF">
        <w:trPr>
          <w:gridAfter w:val="2"/>
          <w:wAfter w:w="22" w:type="dxa"/>
          <w:cantSplit/>
        </w:trPr>
        <w:tc>
          <w:tcPr>
            <w:tcW w:w="3776" w:type="dxa"/>
            <w:tcBorders>
              <w:bottom w:val="single" w:sz="6" w:space="0" w:color="000000"/>
            </w:tcBorders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 (unless covered under defined preventive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)</w:t>
            </w:r>
          </w:p>
        </w:tc>
        <w:tc>
          <w:tcPr>
            <w:tcW w:w="6000" w:type="dxa"/>
            <w:gridSpan w:val="4"/>
            <w:tcBorders>
              <w:bottom w:val="single" w:sz="6" w:space="0" w:color="000000"/>
            </w:tcBorders>
          </w:tcPr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Emergency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oom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elated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A3202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Emergency </w:t>
              </w:r>
              <w:r w:rsidR="00F35A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r</w:t>
              </w:r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oom</w:t>
              </w:r>
            </w:hyperlink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 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A3202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Ambulance </w:t>
              </w:r>
              <w:r w:rsidR="00F35A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s</w:t>
              </w:r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ervices</w:t>
              </w:r>
            </w:hyperlink>
          </w:p>
        </w:tc>
        <w:tc>
          <w:tcPr>
            <w:tcW w:w="6015" w:type="dxa"/>
            <w:gridSpan w:val="5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15" w:type="dxa"/>
            <w:gridSpan w:val="5"/>
            <w:vMerge w:val="restart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15" w:type="dxa"/>
            <w:gridSpan w:val="5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15" w:type="dxa"/>
            <w:gridSpan w:val="5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15" w:type="dxa"/>
            <w:gridSpan w:val="5"/>
            <w:vMerge w:val="restart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15" w:type="dxa"/>
            <w:gridSpan w:val="5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15" w:type="dxa"/>
            <w:gridSpan w:val="5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0" w:color="auto" w:fill="auto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Chemotherapy and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adiation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t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oes not include oral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015" w:type="dxa"/>
            <w:gridSpan w:val="5"/>
            <w:vAlign w:val="center"/>
          </w:tcPr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In-office/facility administration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only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clear" w:color="auto" w:fill="E6E6E6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Obstetrics:</w:t>
            </w:r>
          </w:p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Single fee/delivery charge incl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uding o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</w:t>
            </w:r>
          </w:p>
        </w:tc>
        <w:tc>
          <w:tcPr>
            <w:tcW w:w="2887" w:type="dxa"/>
            <w:gridSpan w:val="2"/>
          </w:tcPr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</w:t>
            </w:r>
          </w:p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Routine prenatal office visits covered at 100%, no deductible</w:t>
            </w:r>
          </w:p>
        </w:tc>
        <w:tc>
          <w:tcPr>
            <w:tcW w:w="3128" w:type="dxa"/>
            <w:gridSpan w:val="3"/>
            <w:vMerge w:val="restart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</w:t>
            </w:r>
          </w:p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prenatal o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 billed separately from single fee</w:t>
            </w:r>
          </w:p>
        </w:tc>
        <w:tc>
          <w:tcPr>
            <w:tcW w:w="2887" w:type="dxa"/>
            <w:gridSpan w:val="2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</w:p>
        </w:tc>
        <w:tc>
          <w:tcPr>
            <w:tcW w:w="3128" w:type="dxa"/>
            <w:gridSpan w:val="3"/>
            <w:vMerge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A3202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10" w:history="1"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Infertility</w:t>
              </w:r>
            </w:hyperlink>
          </w:p>
        </w:tc>
        <w:tc>
          <w:tcPr>
            <w:tcW w:w="2887" w:type="dxa"/>
            <w:gridSpan w:val="2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</w:t>
            </w:r>
          </w:p>
        </w:tc>
        <w:tc>
          <w:tcPr>
            <w:tcW w:w="3128" w:type="dxa"/>
            <w:gridSpan w:val="3"/>
            <w:vMerge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Infertility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ifetime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imits: 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c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ontact Insurance Administrator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for details 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 for mental health or substance abuse</w:t>
            </w:r>
          </w:p>
        </w:tc>
        <w:tc>
          <w:tcPr>
            <w:tcW w:w="2925" w:type="dxa"/>
            <w:gridSpan w:val="3"/>
            <w:vMerge w:val="restart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facility, including day treatment programs</w:t>
            </w:r>
          </w:p>
        </w:tc>
        <w:tc>
          <w:tcPr>
            <w:tcW w:w="2925" w:type="dxa"/>
            <w:gridSpan w:val="3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visits</w:t>
            </w:r>
          </w:p>
        </w:tc>
        <w:tc>
          <w:tcPr>
            <w:tcW w:w="2925" w:type="dxa"/>
            <w:gridSpan w:val="3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0" w:type="dxa"/>
            <w:gridSpan w:val="2"/>
            <w:vMerge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Nursing and Home Health Care 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facility (e.g., rehabilitation center)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6015" w:type="dxa"/>
            <w:gridSpan w:val="5"/>
            <w:vMerge w:val="restart"/>
            <w:vAlign w:val="center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</w:t>
            </w:r>
            <w:r w:rsidRP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D2673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D2673E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D2673E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6015" w:type="dxa"/>
            <w:gridSpan w:val="5"/>
            <w:vMerge/>
            <w:vAlign w:val="center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072FC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lastRenderedPageBreak/>
              <w:t xml:space="preserve">Visiting nurse: </w:t>
            </w:r>
            <w:r w:rsidRPr="00DA6747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>maximum 120 days per condition per plan year</w:t>
            </w:r>
          </w:p>
        </w:tc>
        <w:tc>
          <w:tcPr>
            <w:tcW w:w="6015" w:type="dxa"/>
            <w:gridSpan w:val="5"/>
            <w:vMerge/>
            <w:vAlign w:val="center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072FCF">
        <w:trPr>
          <w:gridAfter w:val="1"/>
          <w:wAfter w:w="7" w:type="dxa"/>
          <w:cantSplit/>
          <w:trHeight w:val="588"/>
        </w:trPr>
        <w:tc>
          <w:tcPr>
            <w:tcW w:w="3776" w:type="dxa"/>
            <w:vAlign w:val="center"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nursing: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contact Insurance Administrator for authorization </w:t>
            </w:r>
          </w:p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</w:p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6015" w:type="dxa"/>
            <w:gridSpan w:val="5"/>
            <w:vMerge/>
          </w:tcPr>
          <w:p w:rsidR="00F35AA6" w:rsidRPr="00DA6747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Term Rehabilitation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estorative service after illness or accident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. . 60 visits PT, OT, ST combined per condition per plan year. Visits over 60 review for medical necessity.</w:t>
            </w:r>
          </w:p>
        </w:tc>
        <w:tc>
          <w:tcPr>
            <w:tcW w:w="2925" w:type="dxa"/>
            <w:gridSpan w:val="3"/>
            <w:vMerge w:val="restart"/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 office co-pay</w:t>
            </w:r>
          </w:p>
        </w:tc>
        <w:tc>
          <w:tcPr>
            <w:tcW w:w="3090" w:type="dxa"/>
            <w:gridSpan w:val="2"/>
            <w:vMerge w:val="restart"/>
            <w:shd w:val="clear" w:color="000000" w:fill="FFFFFF"/>
            <w:vAlign w:val="center"/>
          </w:tcPr>
          <w:p w:rsidR="00F35AA6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f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or diagnosis of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evelopment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elay a maximum 60 visits PT, OT, ST combined,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year, per child</w:t>
            </w:r>
          </w:p>
        </w:tc>
        <w:tc>
          <w:tcPr>
            <w:tcW w:w="2925" w:type="dxa"/>
            <w:gridSpan w:val="3"/>
            <w:vMerge/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Chiropractor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year)</w:t>
            </w:r>
          </w:p>
        </w:tc>
        <w:tc>
          <w:tcPr>
            <w:tcW w:w="2925" w:type="dxa"/>
            <w:gridSpan w:val="3"/>
            <w:vMerge/>
            <w:shd w:val="clear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</w:trPr>
        <w:tc>
          <w:tcPr>
            <w:tcW w:w="3776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Acupuncture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year)  </w:t>
            </w:r>
          </w:p>
        </w:tc>
        <w:tc>
          <w:tcPr>
            <w:tcW w:w="2925" w:type="dxa"/>
            <w:gridSpan w:val="3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F35AA6" w:rsidRPr="007149CE" w:rsidTr="00072FCF">
        <w:trPr>
          <w:gridAfter w:val="1"/>
          <w:wAfter w:w="7" w:type="dxa"/>
        </w:trPr>
        <w:tc>
          <w:tcPr>
            <w:tcW w:w="3776" w:type="dxa"/>
            <w:shd w:val="clear" w:color="000000" w:fill="FFFFFF"/>
          </w:tcPr>
          <w:p w:rsidR="00F35AA6" w:rsidRDefault="00FA3202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1" w:history="1"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Durable </w:t>
              </w:r>
              <w:r w:rsidR="00F35A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m</w:t>
              </w:r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edical </w:t>
              </w:r>
              <w:r w:rsidR="00F35AA6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</w:t>
              </w:r>
              <w:r w:rsidR="00F35AA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quipment</w:t>
              </w:r>
            </w:hyperlink>
            <w:r w:rsidR="00F35AA6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F35AA6">
              <w:rPr>
                <w:rFonts w:ascii="Trebuchet MS" w:hAnsi="Trebuchet MS"/>
                <w:snapToGrid w:val="0"/>
                <w:sz w:val="16"/>
                <w:szCs w:val="16"/>
              </w:rPr>
              <w:t xml:space="preserve">  R</w:t>
            </w:r>
            <w:r w:rsidR="00F35AA6" w:rsidRPr="007149CE">
              <w:rPr>
                <w:rFonts w:ascii="Trebuchet MS" w:hAnsi="Trebuchet MS"/>
                <w:snapToGrid w:val="0"/>
                <w:sz w:val="16"/>
                <w:szCs w:val="16"/>
              </w:rPr>
              <w:t>ental</w:t>
            </w:r>
          </w:p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6015" w:type="dxa"/>
            <w:gridSpan w:val="5"/>
            <w:shd w:val="clear" w:color="000000" w:fill="FFFFFF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Tr="0075080E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F35AA6" w:rsidRPr="007149CE" w:rsidTr="0075080E">
        <w:trPr>
          <w:gridAfter w:val="1"/>
          <w:wAfter w:w="7" w:type="dxa"/>
        </w:trPr>
        <w:tc>
          <w:tcPr>
            <w:tcW w:w="3776" w:type="dxa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eye exams, one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plan y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ear, including refraction. </w:t>
            </w:r>
            <w:r w:rsidRPr="00BA7098">
              <w:rPr>
                <w:rFonts w:ascii="Trebuchet MS" w:hAnsi="Trebuchet MS"/>
                <w:i/>
                <w:snapToGrid w:val="0"/>
                <w:sz w:val="16"/>
                <w:szCs w:val="16"/>
              </w:rPr>
              <w:t>No PCP referral required</w:t>
            </w:r>
          </w:p>
        </w:tc>
        <w:tc>
          <w:tcPr>
            <w:tcW w:w="2925" w:type="dxa"/>
            <w:gridSpan w:val="3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CF766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 co-pay</w:t>
            </w:r>
          </w:p>
        </w:tc>
        <w:tc>
          <w:tcPr>
            <w:tcW w:w="3090" w:type="dxa"/>
            <w:gridSpan w:val="2"/>
            <w:vAlign w:val="center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F35AA6" w:rsidRPr="007149CE" w:rsidDel="009F4205" w:rsidTr="00244CD9">
        <w:trPr>
          <w:gridAfter w:val="1"/>
          <w:wAfter w:w="7" w:type="dxa"/>
          <w:trHeight w:val="543"/>
        </w:trPr>
        <w:tc>
          <w:tcPr>
            <w:tcW w:w="3776" w:type="dxa"/>
          </w:tcPr>
          <w:p w:rsidR="00F35AA6" w:rsidRPr="007149CE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6015" w:type="dxa"/>
            <w:gridSpan w:val="5"/>
            <w:vAlign w:val="center"/>
          </w:tcPr>
          <w:p w:rsidR="00F35AA6" w:rsidRPr="00CF7666" w:rsidRDefault="00F35AA6" w:rsidP="00F35AA6">
            <w:pPr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D946A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Up to $200 reimbursement per person, every two plan years</w:t>
            </w:r>
          </w:p>
        </w:tc>
      </w:tr>
      <w:tr w:rsidR="00F35AA6" w:rsidRPr="00B66241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tcBorders>
              <w:bottom w:val="single" w:sz="6" w:space="0" w:color="000000"/>
            </w:tcBorders>
            <w:shd w:val="pct12" w:color="000000" w:fill="FFFFFF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Hearing Aids</w:t>
            </w:r>
          </w:p>
        </w:tc>
      </w:tr>
      <w:tr w:rsidR="00F35AA6" w:rsidRPr="007149CE" w:rsidTr="007F5EEB">
        <w:trPr>
          <w:gridAfter w:val="1"/>
          <w:wAfter w:w="7" w:type="dxa"/>
          <w:cantSplit/>
        </w:trPr>
        <w:tc>
          <w:tcPr>
            <w:tcW w:w="3831" w:type="dxa"/>
            <w:gridSpan w:val="2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Hearing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a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ids</w:t>
            </w:r>
          </w:p>
        </w:tc>
        <w:tc>
          <w:tcPr>
            <w:tcW w:w="5960" w:type="dxa"/>
            <w:gridSpan w:val="4"/>
            <w:tcBorders>
              <w:bottom w:val="single" w:sz="6" w:space="0" w:color="000000"/>
            </w:tcBorders>
            <w:shd w:val="clear" w:color="000000" w:fill="FFFFFF"/>
          </w:tcPr>
          <w:p w:rsidR="00F35AA6" w:rsidRPr="00B66241" w:rsidRDefault="00F35AA6" w:rsidP="00F35AA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Maximum reimbursement $4,000 per person, every five 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years</w:t>
            </w:r>
          </w:p>
        </w:tc>
      </w:tr>
    </w:tbl>
    <w:p w:rsidR="00D41D75" w:rsidRDefault="00D41D75" w:rsidP="00D41D75">
      <w:pPr>
        <w:rPr>
          <w:rFonts w:ascii="Trebuchet MS" w:hAnsi="Trebuchet MS"/>
          <w:b/>
        </w:rPr>
      </w:pPr>
    </w:p>
    <w:p w:rsidR="00D41D75" w:rsidRPr="00DA6747" w:rsidRDefault="00D41D75" w:rsidP="003E2598">
      <w:pPr>
        <w:rPr>
          <w:rFonts w:ascii="Trebuchet MS" w:hAnsi="Trebuchet MS"/>
          <w:sz w:val="20"/>
        </w:rPr>
      </w:pPr>
      <w:r w:rsidRPr="00DA6747">
        <w:rPr>
          <w:rFonts w:ascii="Trebuchet MS" w:hAnsi="Trebuchet MS"/>
        </w:rPr>
        <w:t>*</w:t>
      </w:r>
      <w:r w:rsidR="00231976">
        <w:rPr>
          <w:rFonts w:ascii="Trebuchet MS" w:hAnsi="Trebuchet MS"/>
          <w:sz w:val="20"/>
          <w:u w:val="single"/>
        </w:rPr>
        <w:t>D</w:t>
      </w:r>
      <w:r w:rsidRPr="00DA6747">
        <w:rPr>
          <w:rFonts w:ascii="Trebuchet MS" w:hAnsi="Trebuchet MS"/>
          <w:sz w:val="20"/>
          <w:u w:val="single"/>
        </w:rPr>
        <w:t>efined preventive care services</w:t>
      </w:r>
      <w:r w:rsidRPr="00DA6747">
        <w:rPr>
          <w:rFonts w:ascii="Trebuchet MS" w:hAnsi="Trebuchet MS"/>
          <w:sz w:val="20"/>
        </w:rPr>
        <w:t xml:space="preserve"> will be provided at 100% when an In Network </w:t>
      </w:r>
      <w:r w:rsidR="002610C7" w:rsidRPr="00DA6747">
        <w:rPr>
          <w:rFonts w:ascii="Trebuchet MS" w:hAnsi="Trebuchet MS"/>
          <w:sz w:val="20"/>
        </w:rPr>
        <w:t>Physician</w:t>
      </w:r>
      <w:r w:rsidRPr="00DA6747">
        <w:rPr>
          <w:rFonts w:ascii="Trebuchet MS" w:hAnsi="Trebuchet MS"/>
          <w:sz w:val="20"/>
        </w:rPr>
        <w:t xml:space="preserve"> or facility is used</w:t>
      </w:r>
      <w:r w:rsidR="00DA6747">
        <w:rPr>
          <w:rFonts w:ascii="Trebuchet MS" w:hAnsi="Trebuchet MS"/>
          <w:sz w:val="20"/>
        </w:rPr>
        <w:t>.</w:t>
      </w:r>
      <w:r w:rsidR="005454B1">
        <w:rPr>
          <w:rFonts w:ascii="Trebuchet MS" w:hAnsi="Trebuchet MS"/>
          <w:sz w:val="20"/>
        </w:rPr>
        <w:t xml:space="preserve"> </w:t>
      </w:r>
      <w:r w:rsidRPr="00DA6747">
        <w:rPr>
          <w:rFonts w:ascii="Trebuchet MS" w:hAnsi="Trebuchet MS"/>
          <w:sz w:val="20"/>
        </w:rPr>
        <w:t>Defined preventive services are determined by gender and age and recommendations may change from time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>to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 xml:space="preserve">time.  Always check </w:t>
      </w:r>
      <w:r w:rsidR="003E2598" w:rsidRPr="00DA6747">
        <w:rPr>
          <w:rFonts w:ascii="Trebuchet MS" w:hAnsi="Trebuchet MS"/>
          <w:sz w:val="20"/>
        </w:rPr>
        <w:t xml:space="preserve">with the Insurance Administrator for </w:t>
      </w:r>
      <w:r w:rsidRPr="00DA6747">
        <w:rPr>
          <w:rFonts w:ascii="Trebuchet MS" w:hAnsi="Trebuchet MS"/>
          <w:sz w:val="20"/>
        </w:rPr>
        <w:t>the most recent recommendations provided separately from this general overview and discuss them with your doctor.</w:t>
      </w:r>
    </w:p>
    <w:p w:rsidR="00DA6747" w:rsidRPr="00DA6747" w:rsidRDefault="00DA6747" w:rsidP="003E2598">
      <w:pPr>
        <w:rPr>
          <w:rFonts w:ascii="Trebuchet MS" w:hAnsi="Trebuchet MS"/>
          <w:sz w:val="20"/>
        </w:rPr>
      </w:pPr>
    </w:p>
    <w:p w:rsidR="00DA6747" w:rsidRDefault="00DA6747" w:rsidP="003E2598"/>
    <w:p w:rsidR="00DA6747" w:rsidRPr="00D63CFE" w:rsidRDefault="00D63CFE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  <w:r w:rsidRPr="00D63CFE">
        <w:rPr>
          <w:rFonts w:ascii="Trebuchet MS" w:hAnsi="Trebuchet MS"/>
          <w:b/>
          <w:szCs w:val="24"/>
        </w:rPr>
        <w:t xml:space="preserve">For U.S. prescription drug coverage, please refer to the separate Pharmacy Benefit grid.  </w:t>
      </w:r>
    </w:p>
    <w:p w:rsidR="00DA6747" w:rsidRPr="00D63CFE" w:rsidRDefault="00DA6747" w:rsidP="00DA6747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DA6747" w:rsidRDefault="00D63CFE" w:rsidP="00DA6747">
      <w:pPr>
        <w:tabs>
          <w:tab w:val="left" w:pos="378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Note: </w:t>
      </w:r>
      <w:r w:rsidR="00DA6747" w:rsidRPr="00DA6747">
        <w:rPr>
          <w:rFonts w:ascii="Trebuchet MS" w:hAnsi="Trebuchet MS"/>
          <w:sz w:val="20"/>
        </w:rPr>
        <w:t xml:space="preserve">For International Option participants, </w:t>
      </w:r>
      <w:r w:rsidR="00231976">
        <w:rPr>
          <w:rFonts w:ascii="Trebuchet MS" w:hAnsi="Trebuchet MS"/>
          <w:sz w:val="20"/>
        </w:rPr>
        <w:t>the U.S. pharmacy benefit manager</w:t>
      </w:r>
      <w:r w:rsidR="00DA6747" w:rsidRPr="00DA6747">
        <w:rPr>
          <w:rFonts w:ascii="Trebuchet MS" w:hAnsi="Trebuchet MS"/>
          <w:sz w:val="20"/>
        </w:rPr>
        <w:t xml:space="preserve"> will send a record of U.S. network pharmacy purchases to </w:t>
      </w:r>
      <w:r w:rsidR="00744E84">
        <w:rPr>
          <w:rFonts w:ascii="Trebuchet MS" w:hAnsi="Trebuchet MS"/>
          <w:sz w:val="20"/>
        </w:rPr>
        <w:t>Cigna</w:t>
      </w:r>
      <w:r w:rsidR="00DA6747" w:rsidRPr="00DA6747">
        <w:rPr>
          <w:rFonts w:ascii="Trebuchet MS" w:hAnsi="Trebuchet MS"/>
          <w:sz w:val="20"/>
        </w:rPr>
        <w:t xml:space="preserve"> after the end of the plan year for reconciliation.  International Option participants who met their medical out of pocket maximum and who also had </w:t>
      </w:r>
      <w:r w:rsidR="00231976">
        <w:rPr>
          <w:rFonts w:ascii="Trebuchet MS" w:hAnsi="Trebuchet MS"/>
          <w:sz w:val="20"/>
        </w:rPr>
        <w:t>U.S. pharmacy</w:t>
      </w:r>
      <w:r w:rsidR="00DA6747" w:rsidRPr="00DA6747">
        <w:rPr>
          <w:rFonts w:ascii="Trebuchet MS" w:hAnsi="Trebuchet MS"/>
          <w:sz w:val="20"/>
        </w:rPr>
        <w:t xml:space="preserve"> out of pocket expenses during the same plan  year will receive reimbursement for the out of pocket </w:t>
      </w:r>
      <w:r w:rsidR="00231976">
        <w:rPr>
          <w:rFonts w:ascii="Trebuchet MS" w:hAnsi="Trebuchet MS"/>
          <w:sz w:val="20"/>
        </w:rPr>
        <w:t>U.S. pharmacy</w:t>
      </w:r>
      <w:r w:rsidR="00DA6747" w:rsidRPr="00DA6747">
        <w:rPr>
          <w:rFonts w:ascii="Trebuchet MS" w:hAnsi="Trebuchet MS"/>
          <w:sz w:val="20"/>
        </w:rPr>
        <w:t xml:space="preserve"> costs from </w:t>
      </w:r>
      <w:r w:rsidR="00744E84">
        <w:rPr>
          <w:rFonts w:ascii="Trebuchet MS" w:hAnsi="Trebuchet MS"/>
          <w:sz w:val="20"/>
        </w:rPr>
        <w:t>Cigna</w:t>
      </w:r>
      <w:r w:rsidR="00516077">
        <w:rPr>
          <w:rFonts w:ascii="Trebuchet MS" w:hAnsi="Trebuchet MS"/>
          <w:sz w:val="20"/>
        </w:rPr>
        <w:t xml:space="preserve"> after reconciliation.</w:t>
      </w:r>
    </w:p>
    <w:p w:rsidR="00516077" w:rsidRDefault="00516077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516077" w:rsidRDefault="00516077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516077" w:rsidRDefault="00516077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516077" w:rsidRPr="00DA6747" w:rsidRDefault="00516077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DA6747" w:rsidRPr="00DA6747" w:rsidRDefault="00DA6747">
      <w:pPr>
        <w:rPr>
          <w:sz w:val="20"/>
        </w:rPr>
      </w:pPr>
    </w:p>
    <w:tbl>
      <w:tblPr>
        <w:tblpPr w:leftFromText="180" w:rightFromText="180" w:vertAnchor="page" w:horzAnchor="margin" w:tblpY="2451"/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31"/>
        <w:gridCol w:w="2870"/>
        <w:gridCol w:w="3090"/>
      </w:tblGrid>
      <w:tr w:rsidR="007149CE" w:rsidRPr="007149CE" w:rsidTr="00D63CFE">
        <w:trPr>
          <w:cantSplit/>
        </w:trPr>
        <w:tc>
          <w:tcPr>
            <w:tcW w:w="3831" w:type="dxa"/>
            <w:tcBorders>
              <w:bottom w:val="single" w:sz="6" w:space="0" w:color="000000"/>
            </w:tcBorders>
            <w:shd w:val="pct70" w:color="auto" w:fill="auto"/>
          </w:tcPr>
          <w:p w:rsidR="004033EA" w:rsidRPr="007149CE" w:rsidRDefault="004033EA" w:rsidP="00D63CFE">
            <w:pPr>
              <w:keepNext/>
              <w:keepLines/>
              <w:spacing w:line="240" w:lineRule="atLeast"/>
              <w:ind w:left="43" w:right="43"/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 xml:space="preserve">Dental </w:t>
            </w:r>
          </w:p>
        </w:tc>
        <w:tc>
          <w:tcPr>
            <w:tcW w:w="2870" w:type="dxa"/>
            <w:tcBorders>
              <w:bottom w:val="single" w:sz="6" w:space="0" w:color="000000"/>
            </w:tcBorders>
            <w:shd w:val="pct70" w:color="auto" w:fill="auto"/>
          </w:tcPr>
          <w:p w:rsidR="00163F72" w:rsidRPr="007149CE" w:rsidRDefault="004033EA" w:rsidP="00D63CF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 xml:space="preserve">US Network – </w:t>
            </w:r>
          </w:p>
          <w:p w:rsidR="004033EA" w:rsidRPr="007149CE" w:rsidRDefault="00A32F76" w:rsidP="00D63CF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>Total Cigna DPPO</w:t>
            </w:r>
          </w:p>
        </w:tc>
        <w:tc>
          <w:tcPr>
            <w:tcW w:w="3090" w:type="dxa"/>
            <w:tcBorders>
              <w:bottom w:val="single" w:sz="6" w:space="0" w:color="000000"/>
            </w:tcBorders>
            <w:shd w:val="pct70" w:color="auto" w:fill="auto"/>
          </w:tcPr>
          <w:p w:rsidR="004033EA" w:rsidRPr="007149CE" w:rsidRDefault="004033EA" w:rsidP="00D63CF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>All other</w:t>
            </w:r>
          </w:p>
        </w:tc>
      </w:tr>
    </w:tbl>
    <w:p w:rsidR="00516077" w:rsidRDefault="00444DDC" w:rsidP="00444DDC">
      <w:pPr>
        <w:ind w:left="220" w:right="-20"/>
        <w:rPr>
          <w:b/>
          <w:bCs/>
          <w:i/>
          <w:sz w:val="36"/>
          <w:szCs w:val="36"/>
        </w:rPr>
      </w:pPr>
      <w:r w:rsidRPr="00444DDC">
        <w:rPr>
          <w:b/>
          <w:bCs/>
          <w:i/>
          <w:sz w:val="36"/>
          <w:szCs w:val="36"/>
        </w:rPr>
        <w:t xml:space="preserve"> </w:t>
      </w:r>
    </w:p>
    <w:p w:rsidR="00516077" w:rsidRDefault="00516077" w:rsidP="00444DDC">
      <w:pPr>
        <w:ind w:left="220" w:right="-20"/>
        <w:rPr>
          <w:b/>
          <w:bCs/>
          <w:i/>
          <w:sz w:val="36"/>
          <w:szCs w:val="36"/>
        </w:rPr>
      </w:pPr>
    </w:p>
    <w:p w:rsidR="00444DDC" w:rsidRDefault="00444DDC" w:rsidP="00516077">
      <w:pPr>
        <w:pStyle w:val="Heading1"/>
      </w:pPr>
      <w:r>
        <w:t>Cigna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Summary</w:t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6298BF5" wp14:editId="12EB0BC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250" cy="523875"/>
            <wp:effectExtent l="0" t="0" r="0" b="9525"/>
            <wp:wrapSquare wrapText="bothSides"/>
            <wp:docPr id="2" name="Picture 2" descr="cignalogo_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gnalogo_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– Retiree - Plan 2  </w:t>
      </w:r>
    </w:p>
    <w:p w:rsidR="00444DDC" w:rsidRPr="00516077" w:rsidRDefault="00444DDC" w:rsidP="00444DDC">
      <w:pPr>
        <w:ind w:left="220" w:right="-20"/>
        <w:rPr>
          <w:rFonts w:ascii="Trebuchet MS" w:hAnsi="Trebuchet MS"/>
          <w:snapToGrid w:val="0"/>
          <w:sz w:val="16"/>
          <w:szCs w:val="16"/>
        </w:rPr>
      </w:pPr>
      <w:r w:rsidRPr="00516077">
        <w:rPr>
          <w:rFonts w:ascii="Trebuchet MS" w:hAnsi="Trebuchet MS"/>
          <w:snapToGrid w:val="0"/>
          <w:sz w:val="16"/>
          <w:szCs w:val="16"/>
        </w:rPr>
        <w:t>All deductibles, plan maximums, and service specific maximums (dollar and occurrence) cross accumulate between in and out of network.</w:t>
      </w:r>
    </w:p>
    <w:tbl>
      <w:tblPr>
        <w:tblW w:w="987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771"/>
        <w:gridCol w:w="1710"/>
        <w:gridCol w:w="1710"/>
        <w:gridCol w:w="1559"/>
      </w:tblGrid>
      <w:tr w:rsidR="00444DDC" w:rsidRPr="00444DDC" w:rsidTr="0074098F">
        <w:trPr>
          <w:trHeight w:hRule="exact" w:val="303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6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Cigna Dental PPO</w:t>
            </w:r>
          </w:p>
        </w:tc>
      </w:tr>
      <w:tr w:rsidR="00444DDC" w:rsidRPr="00444DDC" w:rsidTr="0074098F">
        <w:trPr>
          <w:trHeight w:hRule="exact" w:val="245"/>
        </w:trPr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left="159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Network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Total Cigna DPPO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Out-of-Network</w:t>
            </w:r>
          </w:p>
        </w:tc>
      </w:tr>
      <w:tr w:rsidR="00444DDC" w:rsidRPr="00444DDC" w:rsidTr="0074098F">
        <w:trPr>
          <w:trHeight w:hRule="exact" w:val="47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Calendar Year Maximum</w:t>
            </w:r>
          </w:p>
          <w:p w:rsidR="00444DDC" w:rsidRPr="00516077" w:rsidRDefault="00444DDC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(Class I, II &amp; III expenses)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$2,000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$2,000</w:t>
            </w:r>
          </w:p>
        </w:tc>
      </w:tr>
      <w:tr w:rsidR="00444DDC" w:rsidRPr="00444DDC" w:rsidTr="0074098F">
        <w:trPr>
          <w:trHeight w:hRule="exact" w:val="70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Annual Deductible</w:t>
            </w:r>
          </w:p>
          <w:p w:rsidR="00444DDC" w:rsidRPr="00516077" w:rsidRDefault="00444DDC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Individual</w:t>
            </w:r>
          </w:p>
          <w:p w:rsidR="00444DDC" w:rsidRPr="00516077" w:rsidRDefault="00444DDC">
            <w:pPr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Family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</w:tr>
      <w:tr w:rsidR="00444DDC" w:rsidRPr="00444DDC" w:rsidTr="0074098F">
        <w:trPr>
          <w:trHeight w:hRule="exact" w:val="447"/>
        </w:trPr>
        <w:tc>
          <w:tcPr>
            <w:tcW w:w="3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Reimbursement Levels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Based on Reduced Contracted Fees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80th percentile of Reasonable &amp; Customary Allowances </w:t>
            </w:r>
          </w:p>
        </w:tc>
      </w:tr>
      <w:tr w:rsidR="00444DDC" w:rsidRPr="00444DDC" w:rsidTr="0074098F">
        <w:trPr>
          <w:trHeight w:hRule="exact" w:val="245"/>
        </w:trPr>
        <w:tc>
          <w:tcPr>
            <w:tcW w:w="3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  Benefits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44DDC" w:rsidRPr="00516077" w:rsidRDefault="00444DDC">
            <w:pPr>
              <w:ind w:left="545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</w:tr>
      <w:tr w:rsidR="00444DDC" w:rsidRPr="00444DDC" w:rsidTr="00D7487B">
        <w:trPr>
          <w:trHeight w:hRule="exact" w:val="300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Class I:  Preventive &amp; Diagnostic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Oral Exams Routine - 2 per calendar year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Routine Cleanings  - 2 per calendar year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Routine X-rays  - Bitewings: 2 per calendar year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Non-Routine X-Rays - Full mouth: 1 every 36 consecutive months; Panorex: 1 every 36 consecutive months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Fluoride Application  - 1 per calendar year under age 19</w:t>
            </w:r>
          </w:p>
          <w:p w:rsidR="00444DDC" w:rsidRPr="00516077" w:rsidRDefault="00444DDC">
            <w:pPr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Sealants - Limited to posterior tooth. 1 treatment per tooth every three years up to age 14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Space Maintainers - Limited to non-orthodontic treatment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100%</w:t>
            </w:r>
          </w:p>
          <w:p w:rsidR="00444DDC" w:rsidRPr="00516077" w:rsidRDefault="00444DDC" w:rsidP="00D7487B">
            <w:pPr>
              <w:ind w:left="-209" w:firstLine="209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Charge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pStyle w:val="DctBenSum1"/>
              <w:spacing w:line="276" w:lineRule="auto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</w:tr>
      <w:tr w:rsidR="00444DDC" w:rsidRPr="00444DDC" w:rsidTr="00D7487B">
        <w:trPr>
          <w:trHeight w:hRule="exact" w:val="237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II: Basic Restorative 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Fillings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Root Canal Therapy / Endodontics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Emergency Care to Relieve Pain</w:t>
            </w: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Root Planing and Scaling - Various limitations depending on the service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Splinting</w:t>
            </w: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Oral Surgery – Simple Extractions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Anesthesia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CF7666"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After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 Deductible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After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 Deductible</w:t>
            </w:r>
          </w:p>
        </w:tc>
      </w:tr>
      <w:tr w:rsidR="00444DDC" w:rsidRPr="00444DDC" w:rsidTr="00D7487B">
        <w:trPr>
          <w:trHeight w:hRule="exact" w:val="2967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Class III:  Major Restorative</w:t>
            </w:r>
          </w:p>
          <w:p w:rsidR="00444DDC" w:rsidRPr="00516077" w:rsidRDefault="00444DDC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Crowns – Replacement every 5 years</w:t>
            </w:r>
          </w:p>
          <w:p w:rsidR="00444DDC" w:rsidRPr="00516077" w:rsidRDefault="00444DDC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Dentures – Replacement every 5 years</w:t>
            </w:r>
          </w:p>
          <w:p w:rsidR="00444DDC" w:rsidRPr="00516077" w:rsidRDefault="00444DDC">
            <w:pPr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Bridges – Replacement every 5 years</w:t>
            </w: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Inlays / Onlays – Replacement every 5 years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Prosthesis Over Implant - 1 per every 5 years if unserviceable and cannot be repaired. Benefits are based on the amount payable for non- precious metals. 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Repairs to Dentures, Bridges, Crowns and Inlays - Reviewed if more than once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Stainless Steel/Resin Crowns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Transepithelial Cytologic / Brush Biopsies</w:t>
            </w: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Relines, Rebases and Adjustments – Covered if more than 6 months after installation</w:t>
            </w: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</w:tr>
      <w:tr w:rsidR="00444DDC" w:rsidRPr="00444DDC" w:rsidTr="00D7487B">
        <w:trPr>
          <w:trHeight w:hRule="exact" w:val="9"/>
        </w:trPr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Relines, Rebases, Denture Adjustments - Covered if more than 6 months after installation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444DDC" w:rsidRPr="00444DDC" w:rsidTr="00D7487B">
        <w:trPr>
          <w:trHeight w:hRule="exact" w:val="172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Class IV: Orthodontia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Lifetime Maximum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7D6CD0" w:rsidRDefault="00444DDC" w:rsidP="00D7487B">
            <w:pPr>
              <w:ind w:left="96" w:right="-20"/>
              <w:rPr>
                <w:rFonts w:ascii="Trebuchet MS" w:hAnsi="Trebuchet MS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Study Models or Diagnostic Casts - Payable only when in conjunction with orthodontic workup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44DDC" w:rsidRPr="00516077" w:rsidRDefault="00444DDC" w:rsidP="00D7487B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$1,000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  <w:p w:rsidR="00444DDC" w:rsidRPr="00516077" w:rsidRDefault="00444DDC" w:rsidP="00D7487B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$1,000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CF7666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444DDC" w:rsidRPr="00516077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</w:tr>
      <w:tr w:rsidR="00444DDC" w:rsidRPr="00444DDC" w:rsidTr="0074098F">
        <w:tc>
          <w:tcPr>
            <w:tcW w:w="9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DDC" w:rsidRPr="00516077" w:rsidRDefault="00444DDC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444DDC" w:rsidRPr="00444DDC" w:rsidTr="00D7487B">
        <w:trPr>
          <w:trHeight w:hRule="exact" w:val="2508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VI: Periodontal 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Gingivectomy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Gingivioplasty</w:t>
            </w:r>
            <w:proofErr w:type="spellEnd"/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Alveoplasty</w:t>
            </w:r>
            <w:proofErr w:type="spellEnd"/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Vestibuloplasty</w:t>
            </w:r>
            <w:proofErr w:type="spellEnd"/>
          </w:p>
          <w:p w:rsidR="00444DDC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Osseous Surgery</w:t>
            </w:r>
          </w:p>
          <w:p w:rsidR="00D7487B" w:rsidRDefault="00D7487B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D7487B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D7487B">
              <w:rPr>
                <w:rFonts w:ascii="Trebuchet MS" w:hAnsi="Trebuchet MS"/>
                <w:snapToGrid w:val="0"/>
                <w:sz w:val="16"/>
                <w:szCs w:val="16"/>
              </w:rPr>
              <w:t>Separate $250 Calendar Year Deductible to cross accumulate  between classes VI, VII, IX</w:t>
            </w:r>
          </w:p>
          <w:p w:rsidR="00444DDC" w:rsidRPr="00516077" w:rsidRDefault="00444DDC">
            <w:pPr>
              <w:pStyle w:val="Heading6"/>
              <w:ind w:left="77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44DDC" w:rsidRPr="00444DDC" w:rsidTr="00D7487B">
        <w:trPr>
          <w:trHeight w:hRule="exact" w:val="2346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DC" w:rsidRPr="00516077" w:rsidRDefault="00444DDC" w:rsidP="00D7487B">
            <w:pPr>
              <w:ind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Class VII: Oral Surgery</w:t>
            </w:r>
          </w:p>
          <w:p w:rsidR="00444DDC" w:rsidRPr="00516077" w:rsidRDefault="00444DDC">
            <w:pPr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ind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Surgical Extractions of Impacted Teeth</w:t>
            </w:r>
          </w:p>
          <w:p w:rsidR="00444DDC" w:rsidRDefault="00D7487B" w:rsidP="00D7487B">
            <w:pPr>
              <w:pStyle w:val="Heading6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  <w:r w:rsidRPr="00D7487B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Separate $250 Calendar Year</w:t>
            </w:r>
            <w:r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 xml:space="preserve"> Deductible to cross accumulate</w:t>
            </w:r>
            <w:r w:rsidRPr="00D7487B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 xml:space="preserve"> between classes VI, VII, IX</w:t>
            </w:r>
          </w:p>
          <w:p w:rsidR="00D7487B" w:rsidRPr="00D7487B" w:rsidRDefault="00D7487B" w:rsidP="00D7487B"/>
          <w:p w:rsidR="00444DDC" w:rsidRPr="00516077" w:rsidRDefault="00444DDC" w:rsidP="00D7487B">
            <w:pPr>
              <w:ind w:right="-2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44DDC" w:rsidRPr="00444DDC" w:rsidTr="00D7487B">
        <w:trPr>
          <w:trHeight w:hRule="exact" w:val="1905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DDC" w:rsidRDefault="00444DDC" w:rsidP="00D7487B">
            <w:pPr>
              <w:pStyle w:val="Heading6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  <w:t>Class IX: Surgical Implants</w:t>
            </w:r>
          </w:p>
          <w:p w:rsidR="00D7487B" w:rsidRPr="00D7487B" w:rsidRDefault="00D7487B" w:rsidP="00D7487B"/>
          <w:p w:rsidR="00D7487B" w:rsidRPr="00D7487B" w:rsidRDefault="00D7487B" w:rsidP="00D7487B">
            <w:pPr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D7487B">
              <w:rPr>
                <w:rFonts w:ascii="Trebuchet MS" w:hAnsi="Trebuchet MS"/>
                <w:snapToGrid w:val="0"/>
                <w:sz w:val="16"/>
                <w:szCs w:val="16"/>
              </w:rPr>
              <w:t>Separate $250 Calendar Year Deductible to cross accumulate  between classes VI, VII, IX</w:t>
            </w:r>
          </w:p>
          <w:p w:rsidR="00444DDC" w:rsidRPr="00516077" w:rsidRDefault="00444DDC">
            <w:pPr>
              <w:ind w:firstLine="77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ind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  <w:p w:rsidR="00444DDC" w:rsidRPr="00516077" w:rsidRDefault="00444DDC">
            <w:pPr>
              <w:pStyle w:val="Heading6"/>
              <w:ind w:firstLine="77"/>
              <w:rPr>
                <w:rFonts w:ascii="Trebuchet MS" w:hAnsi="Trebuchet MS"/>
                <w:i w:val="0"/>
                <w:snapToGrid w:val="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50%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516077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44DDC" w:rsidRPr="00516077" w:rsidRDefault="00444DDC" w:rsidP="00D7487B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</w:tbl>
    <w:p w:rsidR="00D63CFE" w:rsidRPr="00516077" w:rsidRDefault="00D63CFE" w:rsidP="00444DDC">
      <w:pPr>
        <w:tabs>
          <w:tab w:val="left" w:pos="3780"/>
        </w:tabs>
        <w:rPr>
          <w:rFonts w:ascii="Trebuchet MS" w:hAnsi="Trebuchet MS"/>
          <w:snapToGrid w:val="0"/>
          <w:sz w:val="16"/>
          <w:szCs w:val="16"/>
        </w:rPr>
      </w:pPr>
    </w:p>
    <w:sectPr w:rsidR="00D63CFE" w:rsidRPr="00516077" w:rsidSect="003E3328">
      <w:headerReference w:type="default" r:id="rId13"/>
      <w:footerReference w:type="default" r:id="rId14"/>
      <w:pgSz w:w="12240" w:h="15840" w:code="1"/>
      <w:pgMar w:top="720" w:right="1440" w:bottom="720" w:left="1440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02" w:rsidRPr="003E3328" w:rsidRDefault="00FA3202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0">
    <w:p w:rsidR="00FA3202" w:rsidRPr="003E3328" w:rsidRDefault="00FA3202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A1" w:rsidRPr="00696A76" w:rsidRDefault="00696A76" w:rsidP="00696A76">
    <w:pPr>
      <w:pStyle w:val="Footer"/>
      <w:rPr>
        <w:rFonts w:ascii="Tahoma" w:hAnsi="Tahoma" w:cs="Tahoma"/>
        <w:sz w:val="20"/>
      </w:rPr>
    </w:pPr>
    <w:r w:rsidRPr="007D4AB6">
      <w:rPr>
        <w:rStyle w:val="PageNumber"/>
        <w:rFonts w:ascii="Tahoma" w:hAnsi="Tahoma" w:cs="Tahoma"/>
        <w:sz w:val="20"/>
      </w:rPr>
      <w:t xml:space="preserve">Revision – </w:t>
    </w:r>
    <w:r w:rsidR="002D62E2">
      <w:rPr>
        <w:rStyle w:val="PageNumber"/>
        <w:rFonts w:ascii="Tahoma" w:hAnsi="Tahoma" w:cs="Tahoma"/>
        <w:sz w:val="20"/>
      </w:rPr>
      <w:t>1</w:t>
    </w:r>
    <w:r w:rsidR="00CF78B7">
      <w:rPr>
        <w:rStyle w:val="PageNumber"/>
        <w:rFonts w:ascii="Tahoma" w:hAnsi="Tahoma" w:cs="Tahoma"/>
        <w:sz w:val="20"/>
      </w:rPr>
      <w:t>2</w:t>
    </w:r>
    <w:r w:rsidR="007E17D1">
      <w:rPr>
        <w:rStyle w:val="PageNumber"/>
        <w:rFonts w:ascii="Tahoma" w:hAnsi="Tahoma" w:cs="Tahoma"/>
        <w:sz w:val="20"/>
      </w:rPr>
      <w:t>/</w:t>
    </w:r>
    <w:r w:rsidR="00CF78B7">
      <w:rPr>
        <w:rStyle w:val="PageNumber"/>
        <w:rFonts w:ascii="Tahoma" w:hAnsi="Tahoma" w:cs="Tahoma"/>
        <w:sz w:val="20"/>
      </w:rPr>
      <w:t>27</w:t>
    </w:r>
    <w:r w:rsidR="007E17D1">
      <w:rPr>
        <w:rStyle w:val="PageNumber"/>
        <w:rFonts w:ascii="Tahoma" w:hAnsi="Tahoma" w:cs="Tahoma"/>
        <w:sz w:val="20"/>
      </w:rPr>
      <w:t>/2017</w:t>
    </w:r>
    <w:r>
      <w:rPr>
        <w:rStyle w:val="PageNumber"/>
        <w:rFonts w:ascii="Tahoma" w:hAnsi="Tahoma" w:cs="Tahoma"/>
        <w:sz w:val="20"/>
      </w:rPr>
      <w:t xml:space="preserve">                                                                                                   </w:t>
    </w:r>
    <w:r w:rsidRPr="007D4AB6">
      <w:rPr>
        <w:rStyle w:val="PageNumber"/>
        <w:rFonts w:ascii="Tahoma" w:hAnsi="Tahoma" w:cs="Tahoma"/>
        <w:sz w:val="20"/>
      </w:rPr>
      <w:t xml:space="preserve"> G00077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02" w:rsidRPr="003E3328" w:rsidRDefault="00FA3202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0">
    <w:p w:rsidR="00FA3202" w:rsidRPr="003E3328" w:rsidRDefault="00FA3202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A1" w:rsidRPr="00696A76" w:rsidRDefault="00231976" w:rsidP="0014245B">
    <w:pPr>
      <w:pStyle w:val="Header"/>
      <w:rPr>
        <w:rFonts w:ascii="Tahoma" w:hAnsi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A76">
      <w:rPr>
        <w:rFonts w:ascii="Tahoma" w:hAnsi="Tahoma"/>
        <w:b/>
        <w:sz w:val="28"/>
        <w:szCs w:val="28"/>
      </w:rPr>
      <w:t xml:space="preserve">         </w:t>
    </w:r>
    <w:r w:rsidR="00744E84">
      <w:rPr>
        <w:rFonts w:ascii="Tahoma" w:hAnsi="Tahoma"/>
        <w:b/>
        <w:sz w:val="28"/>
        <w:szCs w:val="28"/>
      </w:rPr>
      <w:t>Cigna</w:t>
    </w:r>
    <w:r w:rsidR="00744E84" w:rsidRPr="007D4AB6">
      <w:rPr>
        <w:rFonts w:ascii="Tahoma" w:hAnsi="Tahoma"/>
        <w:b/>
        <w:sz w:val="28"/>
        <w:szCs w:val="28"/>
      </w:rPr>
      <w:t xml:space="preserve"> </w:t>
    </w:r>
    <w:r w:rsidR="00696A76" w:rsidRPr="007D4AB6">
      <w:rPr>
        <w:rFonts w:ascii="Tahoma" w:hAnsi="Tahoma"/>
        <w:b/>
        <w:sz w:val="28"/>
        <w:szCs w:val="28"/>
      </w:rPr>
      <w:t xml:space="preserve">International Option RMIP </w:t>
    </w:r>
    <w:r w:rsidR="00696A76">
      <w:rPr>
        <w:rFonts w:ascii="Tahoma" w:hAnsi="Tahoma"/>
        <w:b/>
        <w:sz w:val="28"/>
        <w:szCs w:val="28"/>
      </w:rPr>
      <w:t xml:space="preserve">Plan </w:t>
    </w:r>
    <w:r w:rsidR="00696A76" w:rsidRPr="007D4AB6">
      <w:rPr>
        <w:rFonts w:ascii="Tahoma" w:hAnsi="Tahoma"/>
        <w:b/>
        <w:sz w:val="28"/>
        <w:szCs w:val="28"/>
      </w:rPr>
      <w:t xml:space="preserve">2                     </w:t>
    </w:r>
    <w:r w:rsidR="00696A76">
      <w:rPr>
        <w:rFonts w:ascii="Tahoma" w:hAnsi="Tahoma"/>
        <w:b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6"/>
    <w:rsid w:val="000167BB"/>
    <w:rsid w:val="00025F90"/>
    <w:rsid w:val="00072FCF"/>
    <w:rsid w:val="0014245B"/>
    <w:rsid w:val="00163F72"/>
    <w:rsid w:val="00170FB4"/>
    <w:rsid w:val="001A1543"/>
    <w:rsid w:val="001A4386"/>
    <w:rsid w:val="00224C36"/>
    <w:rsid w:val="00231976"/>
    <w:rsid w:val="002610C7"/>
    <w:rsid w:val="0026635E"/>
    <w:rsid w:val="00285426"/>
    <w:rsid w:val="00297536"/>
    <w:rsid w:val="002A5C1D"/>
    <w:rsid w:val="002D3162"/>
    <w:rsid w:val="002D62E2"/>
    <w:rsid w:val="002E54E3"/>
    <w:rsid w:val="003063CA"/>
    <w:rsid w:val="003079AA"/>
    <w:rsid w:val="00362DB1"/>
    <w:rsid w:val="003751C1"/>
    <w:rsid w:val="00394C75"/>
    <w:rsid w:val="003C2DC9"/>
    <w:rsid w:val="003D01C6"/>
    <w:rsid w:val="003E2598"/>
    <w:rsid w:val="003E3328"/>
    <w:rsid w:val="004033EA"/>
    <w:rsid w:val="00411894"/>
    <w:rsid w:val="00414339"/>
    <w:rsid w:val="00444DDC"/>
    <w:rsid w:val="0045166D"/>
    <w:rsid w:val="00472AD0"/>
    <w:rsid w:val="004B3D50"/>
    <w:rsid w:val="004B5B13"/>
    <w:rsid w:val="004E073F"/>
    <w:rsid w:val="004E2E78"/>
    <w:rsid w:val="00516077"/>
    <w:rsid w:val="00527026"/>
    <w:rsid w:val="005454B1"/>
    <w:rsid w:val="00587668"/>
    <w:rsid w:val="005C02A3"/>
    <w:rsid w:val="005D360E"/>
    <w:rsid w:val="00615962"/>
    <w:rsid w:val="00622EF8"/>
    <w:rsid w:val="006342EA"/>
    <w:rsid w:val="00643768"/>
    <w:rsid w:val="00685FA3"/>
    <w:rsid w:val="00687C0F"/>
    <w:rsid w:val="00696A76"/>
    <w:rsid w:val="006C4596"/>
    <w:rsid w:val="006D2BAF"/>
    <w:rsid w:val="006D7F6E"/>
    <w:rsid w:val="006E36A1"/>
    <w:rsid w:val="006E3E35"/>
    <w:rsid w:val="00706108"/>
    <w:rsid w:val="00711EBC"/>
    <w:rsid w:val="007149CE"/>
    <w:rsid w:val="0074098F"/>
    <w:rsid w:val="00742907"/>
    <w:rsid w:val="00744E84"/>
    <w:rsid w:val="00772F45"/>
    <w:rsid w:val="007A2A15"/>
    <w:rsid w:val="007B1999"/>
    <w:rsid w:val="007B2163"/>
    <w:rsid w:val="007C76A6"/>
    <w:rsid w:val="007D6CD0"/>
    <w:rsid w:val="007E17D1"/>
    <w:rsid w:val="007E77AA"/>
    <w:rsid w:val="007F3F11"/>
    <w:rsid w:val="007F5EEB"/>
    <w:rsid w:val="00865B43"/>
    <w:rsid w:val="008743FA"/>
    <w:rsid w:val="00892B6B"/>
    <w:rsid w:val="008B03A8"/>
    <w:rsid w:val="008D68A6"/>
    <w:rsid w:val="00900DA7"/>
    <w:rsid w:val="00930795"/>
    <w:rsid w:val="00944A37"/>
    <w:rsid w:val="00946962"/>
    <w:rsid w:val="00991B7C"/>
    <w:rsid w:val="00995E33"/>
    <w:rsid w:val="009B6146"/>
    <w:rsid w:val="009C41E2"/>
    <w:rsid w:val="00A014EB"/>
    <w:rsid w:val="00A26518"/>
    <w:rsid w:val="00A32F76"/>
    <w:rsid w:val="00A33C38"/>
    <w:rsid w:val="00A4650C"/>
    <w:rsid w:val="00A53735"/>
    <w:rsid w:val="00A612F2"/>
    <w:rsid w:val="00A84397"/>
    <w:rsid w:val="00A97BE4"/>
    <w:rsid w:val="00AA3120"/>
    <w:rsid w:val="00AA3519"/>
    <w:rsid w:val="00AA6CC6"/>
    <w:rsid w:val="00AB10E6"/>
    <w:rsid w:val="00AB7F6D"/>
    <w:rsid w:val="00AC0A18"/>
    <w:rsid w:val="00B02964"/>
    <w:rsid w:val="00B1019D"/>
    <w:rsid w:val="00B10581"/>
    <w:rsid w:val="00B20C03"/>
    <w:rsid w:val="00B21D5F"/>
    <w:rsid w:val="00B23CB3"/>
    <w:rsid w:val="00B25969"/>
    <w:rsid w:val="00B27BCE"/>
    <w:rsid w:val="00B34FCF"/>
    <w:rsid w:val="00B519AA"/>
    <w:rsid w:val="00B52AF6"/>
    <w:rsid w:val="00B63396"/>
    <w:rsid w:val="00B66241"/>
    <w:rsid w:val="00B735A1"/>
    <w:rsid w:val="00B9289E"/>
    <w:rsid w:val="00BD4A18"/>
    <w:rsid w:val="00BE05FA"/>
    <w:rsid w:val="00BE47B9"/>
    <w:rsid w:val="00C17CBE"/>
    <w:rsid w:val="00C62D62"/>
    <w:rsid w:val="00CB20D7"/>
    <w:rsid w:val="00CE631D"/>
    <w:rsid w:val="00CF3F1B"/>
    <w:rsid w:val="00CF4BC9"/>
    <w:rsid w:val="00CF4F9A"/>
    <w:rsid w:val="00CF7666"/>
    <w:rsid w:val="00CF78B7"/>
    <w:rsid w:val="00D118A0"/>
    <w:rsid w:val="00D15AD5"/>
    <w:rsid w:val="00D2673E"/>
    <w:rsid w:val="00D37A50"/>
    <w:rsid w:val="00D41D75"/>
    <w:rsid w:val="00D54F87"/>
    <w:rsid w:val="00D63CFE"/>
    <w:rsid w:val="00D63D07"/>
    <w:rsid w:val="00D7487B"/>
    <w:rsid w:val="00D87BD7"/>
    <w:rsid w:val="00DA6747"/>
    <w:rsid w:val="00DC14BE"/>
    <w:rsid w:val="00E04800"/>
    <w:rsid w:val="00E17CA4"/>
    <w:rsid w:val="00E462E4"/>
    <w:rsid w:val="00E660BF"/>
    <w:rsid w:val="00E76E0E"/>
    <w:rsid w:val="00E81CDA"/>
    <w:rsid w:val="00EB126D"/>
    <w:rsid w:val="00EB47E5"/>
    <w:rsid w:val="00EC7F07"/>
    <w:rsid w:val="00EF228F"/>
    <w:rsid w:val="00F2368B"/>
    <w:rsid w:val="00F35AA6"/>
    <w:rsid w:val="00F47C87"/>
    <w:rsid w:val="00F514AD"/>
    <w:rsid w:val="00F9242B"/>
    <w:rsid w:val="00F92F62"/>
    <w:rsid w:val="00FA3202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56C7C"/>
  <w15:docId w15:val="{548D0264-227B-4401-9962-C3FC50C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4386"/>
    <w:rPr>
      <w:sz w:val="24"/>
    </w:rPr>
  </w:style>
  <w:style w:type="paragraph" w:styleId="Heading1">
    <w:name w:val="heading 1"/>
    <w:basedOn w:val="Normal"/>
    <w:next w:val="Normal"/>
    <w:qFormat/>
    <w:rsid w:val="001A4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A438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A438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A4386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A438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A438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A438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A438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A438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1A4386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A4386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1A4386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A4386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A4386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A4386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1A4386"/>
    <w:pPr>
      <w:spacing w:after="120"/>
      <w:ind w:left="1440" w:right="1440"/>
    </w:pPr>
  </w:style>
  <w:style w:type="paragraph" w:styleId="BodyText">
    <w:name w:val="Body Text"/>
    <w:basedOn w:val="Normal"/>
    <w:rsid w:val="001A4386"/>
    <w:pPr>
      <w:spacing w:after="120"/>
    </w:pPr>
  </w:style>
  <w:style w:type="paragraph" w:styleId="BodyText2">
    <w:name w:val="Body Text 2"/>
    <w:basedOn w:val="Normal"/>
    <w:rsid w:val="001A4386"/>
    <w:pPr>
      <w:spacing w:after="120" w:line="480" w:lineRule="auto"/>
    </w:pPr>
  </w:style>
  <w:style w:type="paragraph" w:styleId="BodyText3">
    <w:name w:val="Body Text 3"/>
    <w:basedOn w:val="Normal"/>
    <w:rsid w:val="001A438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A4386"/>
    <w:pPr>
      <w:ind w:firstLine="210"/>
    </w:pPr>
  </w:style>
  <w:style w:type="paragraph" w:styleId="BodyTextIndent">
    <w:name w:val="Body Text Indent"/>
    <w:basedOn w:val="Normal"/>
    <w:rsid w:val="001A4386"/>
    <w:pPr>
      <w:spacing w:after="120"/>
      <w:ind w:left="360"/>
    </w:pPr>
  </w:style>
  <w:style w:type="paragraph" w:styleId="BodyTextFirstIndent2">
    <w:name w:val="Body Text First Indent 2"/>
    <w:basedOn w:val="BodyTextIndent"/>
    <w:rsid w:val="001A4386"/>
    <w:pPr>
      <w:ind w:firstLine="210"/>
    </w:pPr>
  </w:style>
  <w:style w:type="paragraph" w:styleId="BodyTextIndent2">
    <w:name w:val="Body Text Indent 2"/>
    <w:basedOn w:val="Normal"/>
    <w:rsid w:val="001A438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A438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1A4386"/>
    <w:pPr>
      <w:spacing w:before="120" w:after="120"/>
    </w:pPr>
    <w:rPr>
      <w:b/>
    </w:rPr>
  </w:style>
  <w:style w:type="paragraph" w:styleId="Closing">
    <w:name w:val="Closing"/>
    <w:basedOn w:val="Normal"/>
    <w:rsid w:val="001A4386"/>
    <w:pPr>
      <w:ind w:left="4320"/>
    </w:pPr>
  </w:style>
  <w:style w:type="paragraph" w:styleId="CommentText">
    <w:name w:val="annotation text"/>
    <w:basedOn w:val="Normal"/>
    <w:semiHidden/>
    <w:rsid w:val="001A4386"/>
    <w:rPr>
      <w:sz w:val="20"/>
    </w:rPr>
  </w:style>
  <w:style w:type="paragraph" w:styleId="Date">
    <w:name w:val="Date"/>
    <w:basedOn w:val="Normal"/>
    <w:next w:val="Normal"/>
    <w:rsid w:val="001A4386"/>
  </w:style>
  <w:style w:type="paragraph" w:styleId="DocumentMap">
    <w:name w:val="Document Map"/>
    <w:basedOn w:val="Normal"/>
    <w:semiHidden/>
    <w:rsid w:val="001A438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A4386"/>
    <w:rPr>
      <w:sz w:val="20"/>
    </w:rPr>
  </w:style>
  <w:style w:type="paragraph" w:styleId="EnvelopeAddress">
    <w:name w:val="envelope address"/>
    <w:basedOn w:val="Normal"/>
    <w:rsid w:val="001A438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A4386"/>
    <w:rPr>
      <w:rFonts w:ascii="Arial" w:hAnsi="Arial"/>
      <w:sz w:val="20"/>
    </w:rPr>
  </w:style>
  <w:style w:type="paragraph" w:styleId="Footer">
    <w:name w:val="footer"/>
    <w:basedOn w:val="Normal"/>
    <w:rsid w:val="001A438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386"/>
    <w:rPr>
      <w:sz w:val="20"/>
    </w:rPr>
  </w:style>
  <w:style w:type="paragraph" w:styleId="Header">
    <w:name w:val="header"/>
    <w:basedOn w:val="Normal"/>
    <w:rsid w:val="001A4386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A438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A438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A438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A438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A438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A438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A438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A438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A438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A4386"/>
    <w:rPr>
      <w:rFonts w:ascii="Arial" w:hAnsi="Arial"/>
      <w:b/>
    </w:rPr>
  </w:style>
  <w:style w:type="paragraph" w:styleId="List">
    <w:name w:val="List"/>
    <w:basedOn w:val="Normal"/>
    <w:rsid w:val="001A4386"/>
    <w:pPr>
      <w:ind w:left="360" w:hanging="360"/>
    </w:pPr>
  </w:style>
  <w:style w:type="paragraph" w:styleId="List2">
    <w:name w:val="List 2"/>
    <w:basedOn w:val="Normal"/>
    <w:rsid w:val="001A4386"/>
    <w:pPr>
      <w:ind w:left="720" w:hanging="360"/>
    </w:pPr>
  </w:style>
  <w:style w:type="paragraph" w:styleId="List3">
    <w:name w:val="List 3"/>
    <w:basedOn w:val="Normal"/>
    <w:rsid w:val="001A4386"/>
    <w:pPr>
      <w:ind w:left="1080" w:hanging="360"/>
    </w:pPr>
  </w:style>
  <w:style w:type="paragraph" w:styleId="List4">
    <w:name w:val="List 4"/>
    <w:basedOn w:val="Normal"/>
    <w:rsid w:val="001A4386"/>
    <w:pPr>
      <w:ind w:left="1440" w:hanging="360"/>
    </w:pPr>
  </w:style>
  <w:style w:type="paragraph" w:styleId="List5">
    <w:name w:val="List 5"/>
    <w:basedOn w:val="Normal"/>
    <w:rsid w:val="001A4386"/>
    <w:pPr>
      <w:ind w:left="1800" w:hanging="360"/>
    </w:pPr>
  </w:style>
  <w:style w:type="paragraph" w:styleId="ListBullet">
    <w:name w:val="List Bullet"/>
    <w:basedOn w:val="Normal"/>
    <w:autoRedefine/>
    <w:rsid w:val="001A4386"/>
    <w:pPr>
      <w:numPr>
        <w:numId w:val="29"/>
      </w:numPr>
    </w:pPr>
  </w:style>
  <w:style w:type="paragraph" w:styleId="ListBullet2">
    <w:name w:val="List Bullet 2"/>
    <w:basedOn w:val="Normal"/>
    <w:autoRedefine/>
    <w:rsid w:val="001A4386"/>
    <w:pPr>
      <w:numPr>
        <w:numId w:val="30"/>
      </w:numPr>
    </w:pPr>
  </w:style>
  <w:style w:type="paragraph" w:styleId="ListBullet3">
    <w:name w:val="List Bullet 3"/>
    <w:basedOn w:val="Normal"/>
    <w:autoRedefine/>
    <w:rsid w:val="001A4386"/>
    <w:pPr>
      <w:numPr>
        <w:numId w:val="31"/>
      </w:numPr>
    </w:pPr>
  </w:style>
  <w:style w:type="paragraph" w:styleId="ListBullet4">
    <w:name w:val="List Bullet 4"/>
    <w:basedOn w:val="Normal"/>
    <w:autoRedefine/>
    <w:rsid w:val="001A4386"/>
    <w:pPr>
      <w:numPr>
        <w:numId w:val="32"/>
      </w:numPr>
    </w:pPr>
  </w:style>
  <w:style w:type="paragraph" w:styleId="ListBullet5">
    <w:name w:val="List Bullet 5"/>
    <w:basedOn w:val="Normal"/>
    <w:autoRedefine/>
    <w:rsid w:val="001A4386"/>
    <w:pPr>
      <w:numPr>
        <w:numId w:val="33"/>
      </w:numPr>
    </w:pPr>
  </w:style>
  <w:style w:type="paragraph" w:styleId="ListContinue">
    <w:name w:val="List Continue"/>
    <w:basedOn w:val="Normal"/>
    <w:rsid w:val="001A4386"/>
    <w:pPr>
      <w:spacing w:after="120"/>
      <w:ind w:left="360"/>
    </w:pPr>
  </w:style>
  <w:style w:type="paragraph" w:styleId="ListContinue2">
    <w:name w:val="List Continue 2"/>
    <w:basedOn w:val="Normal"/>
    <w:rsid w:val="001A4386"/>
    <w:pPr>
      <w:spacing w:after="120"/>
      <w:ind w:left="720"/>
    </w:pPr>
  </w:style>
  <w:style w:type="paragraph" w:styleId="ListContinue3">
    <w:name w:val="List Continue 3"/>
    <w:basedOn w:val="Normal"/>
    <w:rsid w:val="001A4386"/>
    <w:pPr>
      <w:spacing w:after="120"/>
      <w:ind w:left="1080"/>
    </w:pPr>
  </w:style>
  <w:style w:type="paragraph" w:styleId="ListContinue4">
    <w:name w:val="List Continue 4"/>
    <w:basedOn w:val="Normal"/>
    <w:rsid w:val="001A4386"/>
    <w:pPr>
      <w:spacing w:after="120"/>
      <w:ind w:left="1440"/>
    </w:pPr>
  </w:style>
  <w:style w:type="paragraph" w:styleId="ListContinue5">
    <w:name w:val="List Continue 5"/>
    <w:basedOn w:val="Normal"/>
    <w:rsid w:val="001A4386"/>
    <w:pPr>
      <w:spacing w:after="120"/>
      <w:ind w:left="1800"/>
    </w:pPr>
  </w:style>
  <w:style w:type="paragraph" w:styleId="ListNumber">
    <w:name w:val="List Number"/>
    <w:basedOn w:val="Normal"/>
    <w:rsid w:val="001A4386"/>
    <w:pPr>
      <w:numPr>
        <w:numId w:val="34"/>
      </w:numPr>
    </w:pPr>
  </w:style>
  <w:style w:type="paragraph" w:styleId="ListNumber2">
    <w:name w:val="List Number 2"/>
    <w:basedOn w:val="Normal"/>
    <w:rsid w:val="001A4386"/>
    <w:pPr>
      <w:numPr>
        <w:numId w:val="35"/>
      </w:numPr>
    </w:pPr>
  </w:style>
  <w:style w:type="paragraph" w:styleId="ListNumber3">
    <w:name w:val="List Number 3"/>
    <w:basedOn w:val="Normal"/>
    <w:rsid w:val="001A4386"/>
    <w:pPr>
      <w:numPr>
        <w:numId w:val="36"/>
      </w:numPr>
    </w:pPr>
  </w:style>
  <w:style w:type="paragraph" w:styleId="ListNumber4">
    <w:name w:val="List Number 4"/>
    <w:basedOn w:val="Normal"/>
    <w:rsid w:val="001A4386"/>
    <w:pPr>
      <w:numPr>
        <w:numId w:val="37"/>
      </w:numPr>
    </w:pPr>
  </w:style>
  <w:style w:type="paragraph" w:styleId="ListNumber5">
    <w:name w:val="List Number 5"/>
    <w:basedOn w:val="Normal"/>
    <w:rsid w:val="001A4386"/>
    <w:pPr>
      <w:numPr>
        <w:numId w:val="38"/>
      </w:numPr>
    </w:pPr>
  </w:style>
  <w:style w:type="paragraph" w:styleId="MacroText">
    <w:name w:val="macro"/>
    <w:semiHidden/>
    <w:rsid w:val="001A4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1A4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1A4386"/>
    <w:pPr>
      <w:ind w:left="576"/>
    </w:pPr>
  </w:style>
  <w:style w:type="paragraph" w:styleId="NoteHeading">
    <w:name w:val="Note Heading"/>
    <w:basedOn w:val="Normal"/>
    <w:next w:val="Normal"/>
    <w:rsid w:val="001A4386"/>
  </w:style>
  <w:style w:type="paragraph" w:styleId="PlainText">
    <w:name w:val="Plain Text"/>
    <w:basedOn w:val="Normal"/>
    <w:rsid w:val="001A438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A4386"/>
  </w:style>
  <w:style w:type="paragraph" w:styleId="Signature">
    <w:name w:val="Signature"/>
    <w:basedOn w:val="Normal"/>
    <w:rsid w:val="001A4386"/>
    <w:pPr>
      <w:ind w:left="4320"/>
    </w:pPr>
  </w:style>
  <w:style w:type="paragraph" w:styleId="Subtitle">
    <w:name w:val="Subtitle"/>
    <w:basedOn w:val="Normal"/>
    <w:qFormat/>
    <w:rsid w:val="001A4386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A438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A4386"/>
    <w:pPr>
      <w:ind w:left="480" w:hanging="480"/>
    </w:pPr>
  </w:style>
  <w:style w:type="paragraph" w:styleId="Title">
    <w:name w:val="Title"/>
    <w:basedOn w:val="Normal"/>
    <w:qFormat/>
    <w:rsid w:val="001A438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A438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A4386"/>
  </w:style>
  <w:style w:type="paragraph" w:styleId="TOC2">
    <w:name w:val="toc 2"/>
    <w:basedOn w:val="Normal"/>
    <w:next w:val="Normal"/>
    <w:autoRedefine/>
    <w:semiHidden/>
    <w:rsid w:val="001A4386"/>
    <w:pPr>
      <w:ind w:left="240"/>
    </w:pPr>
  </w:style>
  <w:style w:type="paragraph" w:styleId="TOC3">
    <w:name w:val="toc 3"/>
    <w:basedOn w:val="Normal"/>
    <w:next w:val="Normal"/>
    <w:autoRedefine/>
    <w:semiHidden/>
    <w:rsid w:val="001A4386"/>
    <w:pPr>
      <w:ind w:left="480"/>
    </w:pPr>
  </w:style>
  <w:style w:type="paragraph" w:styleId="TOC4">
    <w:name w:val="toc 4"/>
    <w:basedOn w:val="Normal"/>
    <w:next w:val="Normal"/>
    <w:autoRedefine/>
    <w:semiHidden/>
    <w:rsid w:val="001A4386"/>
    <w:pPr>
      <w:ind w:left="720"/>
    </w:pPr>
  </w:style>
  <w:style w:type="paragraph" w:styleId="TOC5">
    <w:name w:val="toc 5"/>
    <w:basedOn w:val="Normal"/>
    <w:next w:val="Normal"/>
    <w:autoRedefine/>
    <w:semiHidden/>
    <w:rsid w:val="001A4386"/>
    <w:pPr>
      <w:ind w:left="960"/>
    </w:pPr>
  </w:style>
  <w:style w:type="paragraph" w:styleId="TOC6">
    <w:name w:val="toc 6"/>
    <w:basedOn w:val="Normal"/>
    <w:next w:val="Normal"/>
    <w:autoRedefine/>
    <w:semiHidden/>
    <w:rsid w:val="001A4386"/>
    <w:pPr>
      <w:ind w:left="1200"/>
    </w:pPr>
  </w:style>
  <w:style w:type="paragraph" w:styleId="TOC7">
    <w:name w:val="toc 7"/>
    <w:basedOn w:val="Normal"/>
    <w:next w:val="Normal"/>
    <w:autoRedefine/>
    <w:semiHidden/>
    <w:rsid w:val="001A4386"/>
    <w:pPr>
      <w:ind w:left="1440"/>
    </w:pPr>
  </w:style>
  <w:style w:type="paragraph" w:styleId="TOC8">
    <w:name w:val="toc 8"/>
    <w:basedOn w:val="Normal"/>
    <w:next w:val="Normal"/>
    <w:autoRedefine/>
    <w:semiHidden/>
    <w:rsid w:val="001A4386"/>
    <w:pPr>
      <w:ind w:left="1680"/>
    </w:pPr>
  </w:style>
  <w:style w:type="paragraph" w:styleId="TOC9">
    <w:name w:val="toc 9"/>
    <w:basedOn w:val="Normal"/>
    <w:next w:val="Normal"/>
    <w:autoRedefine/>
    <w:semiHidden/>
    <w:rsid w:val="001A4386"/>
    <w:pPr>
      <w:ind w:left="1920"/>
    </w:pPr>
  </w:style>
  <w:style w:type="character" w:styleId="PageNumber">
    <w:name w:val="page number"/>
    <w:basedOn w:val="DefaultParagraphFont"/>
    <w:rsid w:val="001A4386"/>
  </w:style>
  <w:style w:type="character" w:styleId="Hyperlink">
    <w:name w:val="Hyperlink"/>
    <w:basedOn w:val="DefaultParagraphFont"/>
    <w:rsid w:val="001A4386"/>
    <w:rPr>
      <w:color w:val="0000FF"/>
      <w:u w:val="single"/>
    </w:rPr>
  </w:style>
  <w:style w:type="character" w:styleId="FollowedHyperlink">
    <w:name w:val="FollowedHyperlink"/>
    <w:basedOn w:val="DefaultParagraphFont"/>
    <w:rsid w:val="001A4386"/>
    <w:rPr>
      <w:color w:val="800080"/>
      <w:u w:val="single"/>
    </w:rPr>
  </w:style>
  <w:style w:type="paragraph" w:styleId="E-mailSignature">
    <w:name w:val="E-mail Signature"/>
    <w:basedOn w:val="Normal"/>
    <w:rsid w:val="001A4386"/>
  </w:style>
  <w:style w:type="paragraph" w:styleId="HTMLAddress">
    <w:name w:val="HTML Address"/>
    <w:basedOn w:val="Normal"/>
    <w:rsid w:val="001A4386"/>
    <w:rPr>
      <w:i/>
      <w:iCs/>
    </w:rPr>
  </w:style>
  <w:style w:type="paragraph" w:styleId="HTMLPreformatted">
    <w:name w:val="HTML Preformatted"/>
    <w:basedOn w:val="Normal"/>
    <w:rsid w:val="001A4386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1A4386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  <w:style w:type="paragraph" w:customStyle="1" w:styleId="DctBenSum1">
    <w:name w:val="DctBenSum1"/>
    <w:basedOn w:val="Normal"/>
    <w:rsid w:val="00444D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worldbank.org/WBSITE/INTRANET/UNITS/HR/0,,contentMDK:20605646~currentSitePK:328635~pagePK:64207891~piPK:64207885~theSitePK:32863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708B-E1C2-42DD-9145-CD94BD4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8368</CharactersWithSpaces>
  <SharedDoc>false</SharedDoc>
  <HLinks>
    <vt:vector size="24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http://intranet.worldbank.org/WBSITE/INTRANET/UNITS/HR/0,,contentMDK:20605646~currentSitePK:328635~pagePK:64207891~piPK:64207885~theSitePK:328635,00.html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Sidhdhaarth Umagandhi</cp:lastModifiedBy>
  <cp:revision>2</cp:revision>
  <cp:lastPrinted>2010-12-08T21:44:00Z</cp:lastPrinted>
  <dcterms:created xsi:type="dcterms:W3CDTF">2017-12-29T11:30:00Z</dcterms:created>
  <dcterms:modified xsi:type="dcterms:W3CDTF">2017-12-29T11:30:00Z</dcterms:modified>
</cp:coreProperties>
</file>