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D3" w:rsidRDefault="001E33D3">
      <w:pPr>
        <w:tabs>
          <w:tab w:val="left" w:pos="9630"/>
        </w:tabs>
        <w:ind w:right="-1332"/>
        <w:jc w:val="center"/>
        <w:rPr>
          <w:b/>
          <w:sz w:val="22"/>
        </w:rPr>
      </w:pPr>
    </w:p>
    <w:p w:rsidR="002C7373" w:rsidRDefault="001E33D3">
      <w:pPr>
        <w:pStyle w:val="Heading1"/>
        <w:rPr>
          <w:sz w:val="28"/>
        </w:rPr>
      </w:pPr>
      <w:r>
        <w:rPr>
          <w:sz w:val="28"/>
        </w:rPr>
        <w:t>Sample Procurement Plan</w:t>
      </w:r>
    </w:p>
    <w:p w:rsidR="002C7373" w:rsidRPr="002C7373" w:rsidRDefault="002C7373" w:rsidP="002C7373"/>
    <w:p w:rsidR="001E33D3" w:rsidRPr="002C7373" w:rsidRDefault="002C7373">
      <w:pPr>
        <w:pStyle w:val="Heading1"/>
        <w:rPr>
          <w:i/>
          <w:szCs w:val="22"/>
        </w:rPr>
      </w:pPr>
      <w:r>
        <w:rPr>
          <w:i/>
          <w:szCs w:val="22"/>
        </w:rPr>
        <w:t>(</w:t>
      </w:r>
      <w:r w:rsidRPr="002C7373">
        <w:rPr>
          <w:i/>
          <w:szCs w:val="22"/>
        </w:rPr>
        <w:t>Text  in italic font is meant for instruction to staff and should be deleted in the final version of the</w:t>
      </w:r>
      <w:r>
        <w:rPr>
          <w:i/>
          <w:szCs w:val="22"/>
        </w:rPr>
        <w:t xml:space="preserve"> </w:t>
      </w:r>
      <w:r w:rsidRPr="002C7373">
        <w:rPr>
          <w:i/>
          <w:szCs w:val="22"/>
        </w:rPr>
        <w:t xml:space="preserve"> PP)</w:t>
      </w:r>
      <w:r w:rsidR="001E33D3" w:rsidRPr="002C7373">
        <w:rPr>
          <w:i/>
          <w:szCs w:val="22"/>
        </w:rPr>
        <w:br/>
      </w:r>
    </w:p>
    <w:p w:rsidR="001E33D3" w:rsidRDefault="001E33D3">
      <w:r>
        <w:t>(</w:t>
      </w:r>
      <w:r w:rsidRPr="002C7373">
        <w:rPr>
          <w:i/>
        </w:rPr>
        <w:t>This is only a sample with the mini</w:t>
      </w:r>
      <w:r w:rsidR="00B11A9A" w:rsidRPr="002C7373">
        <w:rPr>
          <w:i/>
        </w:rPr>
        <w:t xml:space="preserve">mum content that is required to be included in the PAD. The detailed procurement plan is </w:t>
      </w:r>
      <w:r w:rsidR="00415211" w:rsidRPr="002C7373">
        <w:rPr>
          <w:i/>
        </w:rPr>
        <w:t xml:space="preserve">still </w:t>
      </w:r>
      <w:r w:rsidR="00B11A9A" w:rsidRPr="002C7373">
        <w:rPr>
          <w:i/>
        </w:rPr>
        <w:t xml:space="preserve">mandatory </w:t>
      </w:r>
      <w:r w:rsidR="00415211" w:rsidRPr="002C7373">
        <w:rPr>
          <w:i/>
        </w:rPr>
        <w:t>for disclosure</w:t>
      </w:r>
      <w:r w:rsidRPr="002C7373">
        <w:rPr>
          <w:i/>
        </w:rPr>
        <w:t xml:space="preserve"> on the Bank’s website in accordance with the guidelines. The initial procurement plan will cover the first 18 months of the project and then updated annually or earlier as necessary</w:t>
      </w:r>
      <w:r>
        <w:t>)</w:t>
      </w:r>
      <w:r w:rsidR="002C7373">
        <w:t>.</w:t>
      </w:r>
    </w:p>
    <w:p w:rsidR="001E33D3" w:rsidRDefault="001E33D3"/>
    <w:p w:rsidR="001E33D3" w:rsidRDefault="001E33D3" w:rsidP="00281D86">
      <w:pPr>
        <w:pStyle w:val="Heading2"/>
        <w:numPr>
          <w:ilvl w:val="0"/>
          <w:numId w:val="8"/>
        </w:numPr>
        <w:tabs>
          <w:tab w:val="clear" w:pos="1080"/>
          <w:tab w:val="num" w:pos="360"/>
        </w:tabs>
        <w:ind w:hanging="1080"/>
        <w:jc w:val="left"/>
        <w:rPr>
          <w:sz w:val="24"/>
          <w:u w:val="single"/>
        </w:rPr>
      </w:pPr>
      <w:r>
        <w:rPr>
          <w:sz w:val="24"/>
          <w:u w:val="single"/>
        </w:rPr>
        <w:t>General</w:t>
      </w:r>
    </w:p>
    <w:p w:rsidR="001E33D3" w:rsidRDefault="001E33D3"/>
    <w:p w:rsidR="001E33D3" w:rsidRPr="002C7373" w:rsidRDefault="001E33D3" w:rsidP="00281D86">
      <w:pPr>
        <w:numPr>
          <w:ilvl w:val="0"/>
          <w:numId w:val="11"/>
        </w:numPr>
        <w:tabs>
          <w:tab w:val="left" w:pos="720"/>
        </w:tabs>
        <w:ind w:hanging="720"/>
        <w:rPr>
          <w:i/>
        </w:rPr>
      </w:pPr>
      <w:r>
        <w:rPr>
          <w:b/>
          <w:bCs/>
        </w:rPr>
        <w:t>Bank’s approval</w:t>
      </w:r>
      <w:r>
        <w:t xml:space="preserve"> </w:t>
      </w:r>
      <w:r>
        <w:rPr>
          <w:b/>
          <w:bCs/>
        </w:rPr>
        <w:t>Date of the procurement Plan</w:t>
      </w:r>
      <w:r>
        <w:t xml:space="preserve"> </w:t>
      </w:r>
      <w:r w:rsidR="00881911" w:rsidRPr="00881911">
        <w:rPr>
          <w:color w:val="0070C0"/>
        </w:rPr>
        <w:t>[</w:t>
      </w:r>
      <w:r w:rsidR="00881911" w:rsidRPr="002C7373">
        <w:rPr>
          <w:i/>
          <w:color w:val="0070C0"/>
        </w:rPr>
        <w:t>Original: December 2007]: Revision 15 of Updated Procurement Plan, June 2010</w:t>
      </w:r>
      <w:r w:rsidRPr="002C7373">
        <w:rPr>
          <w:i/>
          <w:color w:val="0070C0"/>
        </w:rPr>
        <w:t>]</w:t>
      </w:r>
    </w:p>
    <w:p w:rsidR="001E33D3" w:rsidRDefault="001E33D3" w:rsidP="00281D86">
      <w:pPr>
        <w:numPr>
          <w:ilvl w:val="0"/>
          <w:numId w:val="10"/>
        </w:numPr>
        <w:tabs>
          <w:tab w:val="left" w:pos="720"/>
        </w:tabs>
        <w:ind w:left="720" w:hanging="720"/>
      </w:pPr>
      <w:r>
        <w:rPr>
          <w:b/>
          <w:bCs/>
        </w:rPr>
        <w:t>Date of General Procurement Notice</w:t>
      </w:r>
      <w:r>
        <w:t xml:space="preserve">: </w:t>
      </w:r>
      <w:r w:rsidR="00881911" w:rsidRPr="00881911">
        <w:rPr>
          <w:color w:val="0070C0"/>
        </w:rPr>
        <w:t>Dec 24, 2006</w:t>
      </w:r>
    </w:p>
    <w:p w:rsidR="001E33D3" w:rsidRPr="002C7373" w:rsidRDefault="001E33D3" w:rsidP="00281D86">
      <w:pPr>
        <w:numPr>
          <w:ilvl w:val="0"/>
          <w:numId w:val="10"/>
        </w:numPr>
        <w:tabs>
          <w:tab w:val="left" w:pos="720"/>
        </w:tabs>
        <w:ind w:left="720" w:hanging="720"/>
        <w:rPr>
          <w:i/>
        </w:rPr>
      </w:pPr>
      <w:r>
        <w:rPr>
          <w:b/>
          <w:bCs/>
        </w:rPr>
        <w:t>Period covered by this procurement plan</w:t>
      </w:r>
      <w:r>
        <w:t xml:space="preserve">: </w:t>
      </w:r>
      <w:r w:rsidR="00881911" w:rsidRPr="002C7373">
        <w:rPr>
          <w:i/>
          <w:color w:val="0070C0"/>
        </w:rPr>
        <w:t xml:space="preserve">The procurement period of project covered from year </w:t>
      </w:r>
      <w:r w:rsidR="003E2F0A" w:rsidRPr="002C7373">
        <w:rPr>
          <w:i/>
          <w:color w:val="0070C0"/>
        </w:rPr>
        <w:t xml:space="preserve">June </w:t>
      </w:r>
      <w:r w:rsidR="00881911" w:rsidRPr="002C7373">
        <w:rPr>
          <w:i/>
          <w:color w:val="0070C0"/>
        </w:rPr>
        <w:t xml:space="preserve">2010 to </w:t>
      </w:r>
      <w:r w:rsidR="003E2F0A" w:rsidRPr="002C7373">
        <w:rPr>
          <w:i/>
          <w:color w:val="0070C0"/>
        </w:rPr>
        <w:t xml:space="preserve">December </w:t>
      </w:r>
      <w:r w:rsidR="00881911" w:rsidRPr="002C7373">
        <w:rPr>
          <w:i/>
          <w:color w:val="0070C0"/>
        </w:rPr>
        <w:t>2012</w:t>
      </w:r>
    </w:p>
    <w:p w:rsidR="001E33D3" w:rsidRDefault="001E33D3"/>
    <w:p w:rsidR="001E33D3" w:rsidRDefault="001E33D3"/>
    <w:p w:rsidR="001E33D3" w:rsidRDefault="001E33D3">
      <w:pPr>
        <w:pStyle w:val="Heading5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 Goods and Works and non-consulting services.</w:t>
      </w:r>
    </w:p>
    <w:p w:rsidR="001E33D3" w:rsidRDefault="001E33D3"/>
    <w:p w:rsidR="001E33D3" w:rsidRPr="00254D9B" w:rsidRDefault="001E33D3" w:rsidP="00566A61">
      <w:pPr>
        <w:numPr>
          <w:ilvl w:val="0"/>
          <w:numId w:val="6"/>
        </w:numPr>
        <w:ind w:hanging="720"/>
        <w:rPr>
          <w:i/>
        </w:rPr>
      </w:pPr>
      <w:r>
        <w:rPr>
          <w:b/>
          <w:bCs/>
        </w:rPr>
        <w:t>Prior Review Threshold</w:t>
      </w:r>
      <w:r>
        <w:t>: Procurement Decisions subject to Prior Review by the Bank as stated in Appendix 1 to the Guidelines for Procurement</w:t>
      </w:r>
      <w:r w:rsidRPr="00254D9B">
        <w:rPr>
          <w:i/>
        </w:rPr>
        <w:t xml:space="preserve">: [Thresholds for applicable procurement methods (not limited to the list below) will be determined by the Procurement Specialist /Procurement Accredited Staff based on the assessment of the implementing agency’s capacity.] </w:t>
      </w:r>
    </w:p>
    <w:p w:rsidR="001E33D3" w:rsidRDefault="001E33D3"/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510"/>
        <w:gridCol w:w="2610"/>
        <w:gridCol w:w="2160"/>
      </w:tblGrid>
      <w:tr w:rsidR="001E33D3" w:rsidTr="004276E7">
        <w:trPr>
          <w:trHeight w:val="512"/>
        </w:trPr>
        <w:tc>
          <w:tcPr>
            <w:tcW w:w="540" w:type="dxa"/>
          </w:tcPr>
          <w:p w:rsidR="001E33D3" w:rsidRDefault="001E33D3"/>
        </w:tc>
        <w:tc>
          <w:tcPr>
            <w:tcW w:w="3510" w:type="dxa"/>
          </w:tcPr>
          <w:p w:rsidR="001E33D3" w:rsidRDefault="001E33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Procurement Method</w:t>
            </w:r>
          </w:p>
        </w:tc>
        <w:tc>
          <w:tcPr>
            <w:tcW w:w="2610" w:type="dxa"/>
          </w:tcPr>
          <w:p w:rsidR="001E33D3" w:rsidRDefault="001E33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Prior Review Threshold</w:t>
            </w:r>
          </w:p>
          <w:p w:rsidR="004A21B9" w:rsidRDefault="004A21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US$</w:t>
            </w:r>
          </w:p>
        </w:tc>
        <w:tc>
          <w:tcPr>
            <w:tcW w:w="2160" w:type="dxa"/>
          </w:tcPr>
          <w:p w:rsidR="001E33D3" w:rsidRDefault="001E33D3">
            <w:pPr>
              <w:jc w:val="center"/>
              <w:rPr>
                <w:b/>
                <w:bCs/>
                <w:sz w:val="20"/>
                <w:lang w:val="fr-FR"/>
              </w:rPr>
            </w:pPr>
            <w:r w:rsidRPr="004A21B9">
              <w:rPr>
                <w:b/>
                <w:bCs/>
                <w:sz w:val="20"/>
              </w:rPr>
              <w:t>Comments</w:t>
            </w:r>
          </w:p>
        </w:tc>
      </w:tr>
      <w:tr w:rsidR="00881911">
        <w:tc>
          <w:tcPr>
            <w:tcW w:w="540" w:type="dxa"/>
          </w:tcPr>
          <w:p w:rsidR="00881911" w:rsidRDefault="00881911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1.</w:t>
            </w:r>
          </w:p>
        </w:tc>
        <w:tc>
          <w:tcPr>
            <w:tcW w:w="3510" w:type="dxa"/>
          </w:tcPr>
          <w:p w:rsidR="00881911" w:rsidRDefault="00881911" w:rsidP="00181420">
            <w:pPr>
              <w:rPr>
                <w:sz w:val="20"/>
              </w:rPr>
            </w:pPr>
            <w:r>
              <w:rPr>
                <w:sz w:val="20"/>
              </w:rPr>
              <w:t xml:space="preserve">ICB and LIB (Goods) </w:t>
            </w:r>
          </w:p>
        </w:tc>
        <w:tc>
          <w:tcPr>
            <w:tcW w:w="2610" w:type="dxa"/>
          </w:tcPr>
          <w:p w:rsidR="00881911" w:rsidRPr="002C7373" w:rsidRDefault="00881911" w:rsidP="005D3631">
            <w:pPr>
              <w:spacing w:line="0" w:lineRule="atLeast"/>
              <w:jc w:val="center"/>
              <w:rPr>
                <w:i/>
                <w:color w:val="0070C0"/>
                <w:sz w:val="22"/>
              </w:rPr>
            </w:pPr>
            <w:r w:rsidRPr="002C7373">
              <w:rPr>
                <w:rFonts w:hint="eastAsia"/>
                <w:i/>
                <w:color w:val="0070C0"/>
                <w:sz w:val="22"/>
                <w:lang w:eastAsia="zh-CN"/>
              </w:rPr>
              <w:t>Above US$ 500,000</w:t>
            </w:r>
          </w:p>
        </w:tc>
        <w:tc>
          <w:tcPr>
            <w:tcW w:w="2160" w:type="dxa"/>
          </w:tcPr>
          <w:p w:rsidR="00881911" w:rsidRPr="002C7373" w:rsidRDefault="00881911" w:rsidP="005D3631">
            <w:pPr>
              <w:spacing w:line="0" w:lineRule="atLeast"/>
              <w:jc w:val="center"/>
              <w:rPr>
                <w:i/>
                <w:color w:val="0070C0"/>
                <w:sz w:val="22"/>
                <w:lang w:eastAsia="zh-CN"/>
              </w:rPr>
            </w:pPr>
            <w:r w:rsidRPr="002C7373">
              <w:rPr>
                <w:rFonts w:hint="eastAsia"/>
                <w:i/>
                <w:color w:val="0070C0"/>
                <w:sz w:val="22"/>
                <w:lang w:eastAsia="zh-CN"/>
              </w:rPr>
              <w:t>All</w:t>
            </w:r>
          </w:p>
        </w:tc>
      </w:tr>
      <w:tr w:rsidR="00881911">
        <w:tc>
          <w:tcPr>
            <w:tcW w:w="540" w:type="dxa"/>
          </w:tcPr>
          <w:p w:rsidR="00881911" w:rsidRDefault="0088191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10" w:type="dxa"/>
          </w:tcPr>
          <w:p w:rsidR="00881911" w:rsidRDefault="00881911" w:rsidP="003E2F0A">
            <w:pPr>
              <w:rPr>
                <w:sz w:val="20"/>
              </w:rPr>
            </w:pPr>
            <w:r>
              <w:rPr>
                <w:sz w:val="20"/>
              </w:rPr>
              <w:t>NCB (Goods)</w:t>
            </w:r>
          </w:p>
        </w:tc>
        <w:tc>
          <w:tcPr>
            <w:tcW w:w="2610" w:type="dxa"/>
          </w:tcPr>
          <w:p w:rsidR="00881911" w:rsidRPr="002C7373" w:rsidRDefault="00881911" w:rsidP="005D3631">
            <w:pPr>
              <w:spacing w:line="0" w:lineRule="atLeast"/>
              <w:jc w:val="center"/>
              <w:rPr>
                <w:i/>
                <w:color w:val="0070C0"/>
                <w:sz w:val="22"/>
              </w:rPr>
            </w:pPr>
            <w:r w:rsidRPr="002C7373">
              <w:rPr>
                <w:rFonts w:hint="eastAsia"/>
                <w:i/>
                <w:color w:val="0070C0"/>
                <w:sz w:val="22"/>
                <w:lang w:eastAsia="zh-CN"/>
              </w:rPr>
              <w:t>Above US$ 100,000</w:t>
            </w:r>
          </w:p>
        </w:tc>
        <w:tc>
          <w:tcPr>
            <w:tcW w:w="2160" w:type="dxa"/>
          </w:tcPr>
          <w:p w:rsidR="00881911" w:rsidRPr="002C7373" w:rsidRDefault="00881911" w:rsidP="00881911">
            <w:pPr>
              <w:spacing w:line="0" w:lineRule="atLeast"/>
              <w:jc w:val="center"/>
              <w:rPr>
                <w:i/>
                <w:color w:val="0070C0"/>
                <w:sz w:val="22"/>
                <w:lang w:eastAsia="zh-CN"/>
              </w:rPr>
            </w:pPr>
            <w:r w:rsidRPr="002C7373">
              <w:rPr>
                <w:i/>
                <w:color w:val="0070C0"/>
                <w:sz w:val="22"/>
                <w:lang w:eastAsia="zh-CN"/>
              </w:rPr>
              <w:t>F</w:t>
            </w:r>
            <w:r w:rsidRPr="002C7373">
              <w:rPr>
                <w:rFonts w:hint="eastAsia"/>
                <w:i/>
                <w:color w:val="0070C0"/>
                <w:sz w:val="22"/>
                <w:lang w:eastAsia="zh-CN"/>
              </w:rPr>
              <w:t xml:space="preserve">irst </w:t>
            </w:r>
            <w:r w:rsidRPr="002C7373">
              <w:rPr>
                <w:i/>
                <w:color w:val="0070C0"/>
                <w:sz w:val="22"/>
                <w:lang w:eastAsia="zh-CN"/>
              </w:rPr>
              <w:t>contract</w:t>
            </w:r>
          </w:p>
        </w:tc>
      </w:tr>
      <w:tr w:rsidR="00881911">
        <w:tc>
          <w:tcPr>
            <w:tcW w:w="540" w:type="dxa"/>
          </w:tcPr>
          <w:p w:rsidR="00881911" w:rsidRDefault="00881911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10" w:type="dxa"/>
          </w:tcPr>
          <w:p w:rsidR="00881911" w:rsidRDefault="00881911" w:rsidP="003E2F0A">
            <w:pPr>
              <w:rPr>
                <w:sz w:val="20"/>
              </w:rPr>
            </w:pPr>
            <w:r>
              <w:rPr>
                <w:sz w:val="20"/>
              </w:rPr>
              <w:t>ICB (Works)</w:t>
            </w:r>
          </w:p>
        </w:tc>
        <w:tc>
          <w:tcPr>
            <w:tcW w:w="2610" w:type="dxa"/>
          </w:tcPr>
          <w:p w:rsidR="00881911" w:rsidRPr="002C7373" w:rsidRDefault="00881911" w:rsidP="005D3631">
            <w:pPr>
              <w:spacing w:line="0" w:lineRule="atLeast"/>
              <w:jc w:val="center"/>
              <w:rPr>
                <w:i/>
                <w:color w:val="0070C0"/>
                <w:sz w:val="22"/>
              </w:rPr>
            </w:pPr>
            <w:r w:rsidRPr="002C7373">
              <w:rPr>
                <w:rFonts w:hint="eastAsia"/>
                <w:i/>
                <w:color w:val="0070C0"/>
                <w:sz w:val="22"/>
                <w:lang w:eastAsia="zh-CN"/>
              </w:rPr>
              <w:t>Above US$ 15 million</w:t>
            </w:r>
          </w:p>
        </w:tc>
        <w:tc>
          <w:tcPr>
            <w:tcW w:w="2160" w:type="dxa"/>
          </w:tcPr>
          <w:p w:rsidR="00881911" w:rsidRPr="002C7373" w:rsidRDefault="00881911" w:rsidP="005D3631">
            <w:pPr>
              <w:spacing w:line="0" w:lineRule="atLeast"/>
              <w:jc w:val="center"/>
              <w:rPr>
                <w:i/>
                <w:color w:val="0070C0"/>
                <w:sz w:val="22"/>
                <w:lang w:eastAsia="zh-CN"/>
              </w:rPr>
            </w:pPr>
            <w:r w:rsidRPr="002C7373">
              <w:rPr>
                <w:rFonts w:hint="eastAsia"/>
                <w:i/>
                <w:color w:val="0070C0"/>
                <w:sz w:val="22"/>
                <w:lang w:eastAsia="zh-CN"/>
              </w:rPr>
              <w:t>All</w:t>
            </w:r>
          </w:p>
        </w:tc>
      </w:tr>
      <w:tr w:rsidR="00881911">
        <w:tc>
          <w:tcPr>
            <w:tcW w:w="540" w:type="dxa"/>
          </w:tcPr>
          <w:p w:rsidR="00881911" w:rsidRDefault="0088191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10" w:type="dxa"/>
          </w:tcPr>
          <w:p w:rsidR="00881911" w:rsidRDefault="00881911" w:rsidP="003E2F0A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NCB (Works)</w:t>
            </w:r>
          </w:p>
        </w:tc>
        <w:tc>
          <w:tcPr>
            <w:tcW w:w="2610" w:type="dxa"/>
          </w:tcPr>
          <w:p w:rsidR="00881911" w:rsidRPr="002C7373" w:rsidRDefault="00881911" w:rsidP="005D3631">
            <w:pPr>
              <w:spacing w:line="0" w:lineRule="atLeast"/>
              <w:jc w:val="center"/>
              <w:rPr>
                <w:i/>
                <w:color w:val="0070C0"/>
                <w:sz w:val="22"/>
              </w:rPr>
            </w:pPr>
            <w:r w:rsidRPr="002C7373">
              <w:rPr>
                <w:rFonts w:hint="eastAsia"/>
                <w:i/>
                <w:color w:val="0070C0"/>
                <w:sz w:val="22"/>
                <w:lang w:eastAsia="zh-CN"/>
              </w:rPr>
              <w:t>Above US$ 5 million</w:t>
            </w:r>
          </w:p>
        </w:tc>
        <w:tc>
          <w:tcPr>
            <w:tcW w:w="2160" w:type="dxa"/>
          </w:tcPr>
          <w:p w:rsidR="00881911" w:rsidRPr="002C7373" w:rsidRDefault="00881911" w:rsidP="005D3631">
            <w:pPr>
              <w:spacing w:line="0" w:lineRule="atLeast"/>
              <w:jc w:val="center"/>
              <w:rPr>
                <w:i/>
                <w:color w:val="0070C0"/>
                <w:sz w:val="22"/>
              </w:rPr>
            </w:pPr>
            <w:r w:rsidRPr="002C7373">
              <w:rPr>
                <w:i/>
                <w:color w:val="0070C0"/>
                <w:sz w:val="22"/>
                <w:lang w:eastAsia="zh-CN"/>
              </w:rPr>
              <w:t>All</w:t>
            </w:r>
          </w:p>
        </w:tc>
      </w:tr>
      <w:tr w:rsidR="00881911">
        <w:tc>
          <w:tcPr>
            <w:tcW w:w="540" w:type="dxa"/>
          </w:tcPr>
          <w:p w:rsidR="00881911" w:rsidRDefault="0088191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10" w:type="dxa"/>
          </w:tcPr>
          <w:p w:rsidR="00881911" w:rsidRDefault="00881911" w:rsidP="003E2F0A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(Non-Consultant Services)</w:t>
            </w:r>
          </w:p>
        </w:tc>
        <w:tc>
          <w:tcPr>
            <w:tcW w:w="2610" w:type="dxa"/>
          </w:tcPr>
          <w:p w:rsidR="00881911" w:rsidRPr="002C7373" w:rsidRDefault="00881911" w:rsidP="005D3631">
            <w:pPr>
              <w:spacing w:line="0" w:lineRule="atLeast"/>
              <w:jc w:val="center"/>
              <w:rPr>
                <w:i/>
                <w:color w:val="0070C0"/>
                <w:sz w:val="22"/>
              </w:rPr>
            </w:pPr>
            <w:r w:rsidRPr="002C7373">
              <w:rPr>
                <w:rFonts w:hint="eastAsia"/>
                <w:i/>
                <w:color w:val="0070C0"/>
                <w:sz w:val="22"/>
                <w:lang w:eastAsia="zh-CN"/>
              </w:rPr>
              <w:t>Below US$ 100,000</w:t>
            </w:r>
          </w:p>
        </w:tc>
        <w:tc>
          <w:tcPr>
            <w:tcW w:w="2160" w:type="dxa"/>
          </w:tcPr>
          <w:p w:rsidR="00881911" w:rsidRPr="002C7373" w:rsidRDefault="00881911" w:rsidP="00881911">
            <w:pPr>
              <w:spacing w:line="0" w:lineRule="atLeast"/>
              <w:jc w:val="center"/>
              <w:rPr>
                <w:i/>
                <w:color w:val="0070C0"/>
                <w:sz w:val="22"/>
                <w:lang w:eastAsia="zh-CN"/>
              </w:rPr>
            </w:pPr>
            <w:r w:rsidRPr="002C7373">
              <w:rPr>
                <w:i/>
                <w:color w:val="0070C0"/>
                <w:sz w:val="22"/>
                <w:lang w:eastAsia="zh-CN"/>
              </w:rPr>
              <w:t>F</w:t>
            </w:r>
            <w:r w:rsidRPr="002C7373">
              <w:rPr>
                <w:rFonts w:hint="eastAsia"/>
                <w:i/>
                <w:color w:val="0070C0"/>
                <w:sz w:val="22"/>
                <w:lang w:eastAsia="zh-CN"/>
              </w:rPr>
              <w:t xml:space="preserve">irst </w:t>
            </w:r>
            <w:r w:rsidRPr="002C7373">
              <w:rPr>
                <w:i/>
                <w:color w:val="0070C0"/>
                <w:sz w:val="22"/>
                <w:lang w:eastAsia="zh-CN"/>
              </w:rPr>
              <w:t>contract</w:t>
            </w:r>
          </w:p>
        </w:tc>
      </w:tr>
      <w:tr w:rsidR="00881911">
        <w:tc>
          <w:tcPr>
            <w:tcW w:w="540" w:type="dxa"/>
          </w:tcPr>
          <w:p w:rsidR="00881911" w:rsidRDefault="00881911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881911" w:rsidRDefault="00881911">
            <w:pPr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iCs/>
                <w:sz w:val="20"/>
              </w:rPr>
              <w:t>Add other methods if necessary</w:t>
            </w:r>
            <w:r>
              <w:rPr>
                <w:sz w:val="20"/>
              </w:rPr>
              <w:t>]</w:t>
            </w:r>
          </w:p>
        </w:tc>
        <w:tc>
          <w:tcPr>
            <w:tcW w:w="2610" w:type="dxa"/>
          </w:tcPr>
          <w:p w:rsidR="00881911" w:rsidRDefault="00881911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881911" w:rsidRDefault="00881911"/>
        </w:tc>
      </w:tr>
    </w:tbl>
    <w:p w:rsidR="001E33D3" w:rsidRDefault="001E33D3">
      <w:pPr>
        <w:tabs>
          <w:tab w:val="num" w:pos="4310"/>
          <w:tab w:val="left" w:pos="7247"/>
          <w:tab w:val="left" w:pos="11037"/>
          <w:tab w:val="left" w:pos="14280"/>
        </w:tabs>
        <w:ind w:left="1080"/>
      </w:pPr>
    </w:p>
    <w:p w:rsidR="001E33D3" w:rsidRDefault="001E33D3">
      <w:pPr>
        <w:pStyle w:val="ModelNrmlDouble"/>
        <w:spacing w:line="240" w:lineRule="auto"/>
        <w:ind w:left="720" w:hanging="720"/>
        <w:rPr>
          <w:sz w:val="24"/>
        </w:rPr>
      </w:pPr>
      <w:r>
        <w:rPr>
          <w:b/>
          <w:bCs/>
          <w:sz w:val="24"/>
          <w:lang w:val="fr-FR"/>
        </w:rPr>
        <w:t>2.</w:t>
      </w:r>
      <w:r>
        <w:rPr>
          <w:b/>
          <w:bCs/>
          <w:sz w:val="24"/>
          <w:lang w:val="fr-FR"/>
        </w:rPr>
        <w:tab/>
      </w:r>
      <w:proofErr w:type="spellStart"/>
      <w:r>
        <w:rPr>
          <w:b/>
          <w:bCs/>
          <w:sz w:val="24"/>
          <w:lang w:val="fr-FR"/>
        </w:rPr>
        <w:t>Prequalification</w:t>
      </w:r>
      <w:proofErr w:type="spellEnd"/>
      <w:r>
        <w:rPr>
          <w:sz w:val="24"/>
          <w:lang w:val="fr-FR"/>
        </w:rPr>
        <w:t>. </w:t>
      </w:r>
      <w:r>
        <w:rPr>
          <w:sz w:val="24"/>
        </w:rPr>
        <w:t>Bidders for _</w:t>
      </w:r>
      <w:r w:rsidR="00881911" w:rsidRPr="002C7373">
        <w:rPr>
          <w:i/>
          <w:color w:val="0070C0"/>
          <w:sz w:val="24"/>
          <w:u w:val="single"/>
        </w:rPr>
        <w:t>Not applicable</w:t>
      </w:r>
      <w:r w:rsidRPr="002C7373">
        <w:rPr>
          <w:i/>
          <w:sz w:val="24"/>
        </w:rPr>
        <w:t>_</w:t>
      </w:r>
      <w:r>
        <w:rPr>
          <w:sz w:val="24"/>
        </w:rPr>
        <w:t xml:space="preserve"> shall be prequalified in accordance with the provisions of paragraphs 2.9 and 2.10 of the Guidelines.</w:t>
      </w:r>
    </w:p>
    <w:p w:rsidR="001E33D3" w:rsidRDefault="001E33D3">
      <w:pPr>
        <w:tabs>
          <w:tab w:val="left" w:pos="7247"/>
          <w:tab w:val="left" w:pos="11037"/>
          <w:tab w:val="left" w:pos="14280"/>
        </w:tabs>
        <w:ind w:left="720" w:hanging="720"/>
      </w:pPr>
      <w:r>
        <w:rPr>
          <w:b/>
          <w:bCs/>
        </w:rPr>
        <w:t>3.</w:t>
      </w:r>
      <w:r>
        <w:rPr>
          <w:b/>
          <w:bCs/>
        </w:rPr>
        <w:tab/>
        <w:t xml:space="preserve">Proposed Procedures for CDD Components (as per paragraph. 3.17 of the Guidelines: </w:t>
      </w:r>
      <w:r>
        <w:t>[</w:t>
      </w:r>
      <w:r w:rsidRPr="002C7373">
        <w:rPr>
          <w:i/>
        </w:rPr>
        <w:t xml:space="preserve">Refer to the relevant </w:t>
      </w:r>
      <w:r w:rsidR="002C7373" w:rsidRPr="002C7373">
        <w:rPr>
          <w:i/>
        </w:rPr>
        <w:t>CDD project</w:t>
      </w:r>
      <w:r w:rsidRPr="002C7373">
        <w:rPr>
          <w:i/>
        </w:rPr>
        <w:t xml:space="preserve"> implementation document approved by the Bank</w:t>
      </w:r>
      <w:r w:rsidR="002C7373" w:rsidRPr="002C7373">
        <w:rPr>
          <w:i/>
        </w:rPr>
        <w:t xml:space="preserve"> or delete if not applicable]</w:t>
      </w:r>
      <w:r w:rsidR="00881911">
        <w:t xml:space="preserve"> </w:t>
      </w:r>
    </w:p>
    <w:p w:rsidR="001E33D3" w:rsidRDefault="001E33D3">
      <w:pPr>
        <w:tabs>
          <w:tab w:val="left" w:pos="7247"/>
          <w:tab w:val="left" w:pos="11037"/>
          <w:tab w:val="left" w:pos="14280"/>
        </w:tabs>
        <w:ind w:left="720" w:hanging="720"/>
      </w:pPr>
    </w:p>
    <w:p w:rsidR="001E33D3" w:rsidRPr="002C7373" w:rsidRDefault="001E33D3" w:rsidP="00566A61">
      <w:pPr>
        <w:numPr>
          <w:ilvl w:val="0"/>
          <w:numId w:val="9"/>
        </w:numPr>
        <w:tabs>
          <w:tab w:val="left" w:pos="7247"/>
          <w:tab w:val="left" w:pos="11037"/>
          <w:tab w:val="left" w:pos="14280"/>
        </w:tabs>
        <w:ind w:hanging="720"/>
        <w:rPr>
          <w:b/>
          <w:bCs/>
          <w:i/>
        </w:rPr>
      </w:pPr>
      <w:r>
        <w:rPr>
          <w:b/>
          <w:bCs/>
        </w:rPr>
        <w:t xml:space="preserve">Reference to (if any) Project Operational/Procurement Manual: </w:t>
      </w:r>
      <w:r w:rsidR="003E2F0A" w:rsidRPr="002C7373">
        <w:rPr>
          <w:bCs/>
          <w:i/>
          <w:color w:val="0070C0"/>
        </w:rPr>
        <w:t>Project Implementation M</w:t>
      </w:r>
      <w:r w:rsidR="00881911" w:rsidRPr="002C7373">
        <w:rPr>
          <w:bCs/>
          <w:i/>
          <w:color w:val="0070C0"/>
        </w:rPr>
        <w:t xml:space="preserve">anual for World Bank Loan Project </w:t>
      </w:r>
      <w:r w:rsidR="00C87392" w:rsidRPr="002C7373">
        <w:rPr>
          <w:bCs/>
          <w:i/>
          <w:color w:val="0070C0"/>
        </w:rPr>
        <w:t>XYZ</w:t>
      </w:r>
      <w:r w:rsidR="00881911" w:rsidRPr="002C7373">
        <w:rPr>
          <w:bCs/>
          <w:i/>
          <w:color w:val="0070C0"/>
        </w:rPr>
        <w:t xml:space="preserve"> </w:t>
      </w:r>
      <w:r w:rsidR="003E2F0A" w:rsidRPr="002C7373">
        <w:rPr>
          <w:bCs/>
          <w:i/>
          <w:color w:val="0070C0"/>
        </w:rPr>
        <w:t xml:space="preserve"> 04/01/2010 </w:t>
      </w:r>
      <w:r w:rsidR="00881911" w:rsidRPr="002C7373">
        <w:rPr>
          <w:bCs/>
          <w:i/>
          <w:color w:val="0070C0"/>
        </w:rPr>
        <w:t xml:space="preserve">issued by </w:t>
      </w:r>
      <w:r w:rsidR="00C87392" w:rsidRPr="002C7373">
        <w:rPr>
          <w:bCs/>
          <w:i/>
          <w:color w:val="0070C0"/>
        </w:rPr>
        <w:t>&lt;mention name of PIU&gt;</w:t>
      </w:r>
    </w:p>
    <w:p w:rsidR="001E33D3" w:rsidRDefault="001E33D3"/>
    <w:p w:rsidR="001E33D3" w:rsidRPr="002C7373" w:rsidRDefault="001E33D3" w:rsidP="00566A61">
      <w:pPr>
        <w:numPr>
          <w:ilvl w:val="0"/>
          <w:numId w:val="9"/>
        </w:numPr>
        <w:ind w:hanging="720"/>
        <w:rPr>
          <w:i/>
        </w:rPr>
      </w:pPr>
      <w:r>
        <w:rPr>
          <w:b/>
          <w:bCs/>
        </w:rPr>
        <w:lastRenderedPageBreak/>
        <w:t>Any Other Special Procurement Arrangements</w:t>
      </w:r>
      <w:r>
        <w:t>: [</w:t>
      </w:r>
      <w:r w:rsidRPr="002C7373">
        <w:rPr>
          <w:i/>
        </w:rPr>
        <w:t>including advance procurement and retroactive financing, if applicable</w:t>
      </w:r>
      <w:r>
        <w:t>]</w:t>
      </w:r>
      <w:r w:rsidR="00881911">
        <w:t xml:space="preserve"> </w:t>
      </w:r>
      <w:r w:rsidR="003E2F0A" w:rsidRPr="002C7373">
        <w:rPr>
          <w:i/>
          <w:color w:val="0070C0"/>
        </w:rPr>
        <w:t>5 ICB works packages will be financed under retroactive financing</w:t>
      </w:r>
    </w:p>
    <w:p w:rsidR="001E33D3" w:rsidRDefault="001E33D3">
      <w:pPr>
        <w:ind w:left="1080" w:hanging="720"/>
      </w:pPr>
      <w:r>
        <w:t xml:space="preserve"> </w:t>
      </w:r>
    </w:p>
    <w:p w:rsidR="001E33D3" w:rsidRPr="002C7373" w:rsidRDefault="00CE147E" w:rsidP="00566A61">
      <w:pPr>
        <w:pStyle w:val="Heading5"/>
        <w:numPr>
          <w:ilvl w:val="0"/>
          <w:numId w:val="9"/>
        </w:numPr>
        <w:ind w:hanging="7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u w:val="none"/>
        </w:rPr>
        <w:t xml:space="preserve">Summary of the </w:t>
      </w:r>
      <w:r w:rsidR="001E33D3">
        <w:rPr>
          <w:rFonts w:ascii="Times New Roman" w:hAnsi="Times New Roman"/>
          <w:u w:val="none"/>
        </w:rPr>
        <w:t xml:space="preserve">Procurement Packages </w:t>
      </w:r>
      <w:r w:rsidR="00181420">
        <w:rPr>
          <w:rFonts w:ascii="Times New Roman" w:hAnsi="Times New Roman"/>
          <w:u w:val="none"/>
        </w:rPr>
        <w:t xml:space="preserve">planned during the </w:t>
      </w:r>
      <w:r w:rsidR="00EA0420">
        <w:rPr>
          <w:rFonts w:ascii="Times New Roman" w:hAnsi="Times New Roman"/>
          <w:u w:val="none"/>
        </w:rPr>
        <w:t>first</w:t>
      </w:r>
      <w:r w:rsidR="00181420">
        <w:rPr>
          <w:rFonts w:ascii="Times New Roman" w:hAnsi="Times New Roman"/>
          <w:u w:val="none"/>
        </w:rPr>
        <w:t xml:space="preserve"> 18 months after project </w:t>
      </w:r>
      <w:proofErr w:type="gramStart"/>
      <w:r w:rsidR="00181420">
        <w:rPr>
          <w:rFonts w:ascii="Times New Roman" w:hAnsi="Times New Roman"/>
          <w:u w:val="none"/>
        </w:rPr>
        <w:t>effectiveness  (</w:t>
      </w:r>
      <w:proofErr w:type="gramEnd"/>
      <w:r w:rsidR="00181420">
        <w:rPr>
          <w:rFonts w:ascii="Times New Roman" w:hAnsi="Times New Roman"/>
          <w:u w:val="none"/>
        </w:rPr>
        <w:t xml:space="preserve"> </w:t>
      </w:r>
      <w:r w:rsidR="00181420" w:rsidRPr="002C7373">
        <w:rPr>
          <w:rFonts w:ascii="Times New Roman" w:hAnsi="Times New Roman"/>
          <w:i/>
          <w:u w:val="none"/>
        </w:rPr>
        <w:t>including those that are subject to retroactive financing and advanced procurement)</w:t>
      </w:r>
    </w:p>
    <w:p w:rsidR="00281D86" w:rsidRDefault="00281D86" w:rsidP="00281D86">
      <w:pPr>
        <w:rPr>
          <w:i/>
        </w:rPr>
      </w:pPr>
    </w:p>
    <w:p w:rsidR="001E33D3" w:rsidRDefault="001E33D3" w:rsidP="00281D86">
      <w:r w:rsidRPr="002C7373">
        <w:rPr>
          <w:i/>
        </w:rPr>
        <w:t>[List the Packages which require Bank’s prior review first and then the other packages</w:t>
      </w:r>
      <w:r>
        <w:t>]</w:t>
      </w:r>
    </w:p>
    <w:p w:rsidR="00281D86" w:rsidRDefault="00281D86">
      <w:pPr>
        <w:ind w:left="720"/>
      </w:pPr>
    </w:p>
    <w:tbl>
      <w:tblPr>
        <w:tblW w:w="81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350"/>
        <w:gridCol w:w="1170"/>
        <w:gridCol w:w="1350"/>
        <w:gridCol w:w="900"/>
        <w:gridCol w:w="1350"/>
        <w:gridCol w:w="1170"/>
      </w:tblGrid>
      <w:tr w:rsidR="00181420" w:rsidTr="00181420">
        <w:tc>
          <w:tcPr>
            <w:tcW w:w="810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350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170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350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900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350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170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181420" w:rsidTr="00181420">
        <w:tc>
          <w:tcPr>
            <w:tcW w:w="810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</w:p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Ref. No.</w:t>
            </w:r>
          </w:p>
        </w:tc>
        <w:tc>
          <w:tcPr>
            <w:tcW w:w="1350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</w:p>
          <w:p w:rsidR="00181420" w:rsidRDefault="00181420" w:rsidP="00CE14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Description</w:t>
            </w:r>
          </w:p>
        </w:tc>
        <w:tc>
          <w:tcPr>
            <w:tcW w:w="1170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</w:p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Estimated</w:t>
            </w:r>
          </w:p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</w:t>
            </w:r>
          </w:p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US$</w:t>
            </w:r>
            <w:r w:rsidR="003E2F0A">
              <w:rPr>
                <w:b/>
                <w:bCs/>
                <w:sz w:val="20"/>
              </w:rPr>
              <w:t xml:space="preserve"> million</w:t>
            </w:r>
          </w:p>
        </w:tc>
        <w:tc>
          <w:tcPr>
            <w:tcW w:w="1350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</w:p>
          <w:p w:rsidR="00181420" w:rsidRDefault="003E2F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Packages</w:t>
            </w:r>
          </w:p>
        </w:tc>
        <w:tc>
          <w:tcPr>
            <w:tcW w:w="900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</w:p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Domestic Preference</w:t>
            </w:r>
          </w:p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(yes/no)</w:t>
            </w:r>
          </w:p>
        </w:tc>
        <w:tc>
          <w:tcPr>
            <w:tcW w:w="1350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</w:p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Review</w:t>
            </w:r>
          </w:p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by Bank</w:t>
            </w:r>
          </w:p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(Prior / Post)</w:t>
            </w:r>
          </w:p>
        </w:tc>
        <w:tc>
          <w:tcPr>
            <w:tcW w:w="1170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</w:p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Comments</w:t>
            </w:r>
          </w:p>
        </w:tc>
      </w:tr>
      <w:tr w:rsidR="00181420" w:rsidTr="00181420">
        <w:tc>
          <w:tcPr>
            <w:tcW w:w="810" w:type="dxa"/>
          </w:tcPr>
          <w:p w:rsidR="00181420" w:rsidRDefault="00181420"/>
        </w:tc>
        <w:tc>
          <w:tcPr>
            <w:tcW w:w="1350" w:type="dxa"/>
          </w:tcPr>
          <w:p w:rsidR="00181420" w:rsidRDefault="00181420" w:rsidP="003E2F0A">
            <w:pPr>
              <w:rPr>
                <w:sz w:val="20"/>
              </w:rPr>
            </w:pPr>
            <w:r>
              <w:rPr>
                <w:sz w:val="20"/>
              </w:rPr>
              <w:t>Summary of the ICB (Works)</w:t>
            </w:r>
          </w:p>
        </w:tc>
        <w:tc>
          <w:tcPr>
            <w:tcW w:w="1170" w:type="dxa"/>
          </w:tcPr>
          <w:p w:rsidR="00181420" w:rsidRPr="002C7373" w:rsidRDefault="003E2F0A" w:rsidP="003E2F0A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82</w:t>
            </w:r>
          </w:p>
        </w:tc>
        <w:tc>
          <w:tcPr>
            <w:tcW w:w="1350" w:type="dxa"/>
          </w:tcPr>
          <w:p w:rsidR="00181420" w:rsidRPr="002C7373" w:rsidRDefault="003E2F0A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5</w:t>
            </w:r>
          </w:p>
        </w:tc>
        <w:tc>
          <w:tcPr>
            <w:tcW w:w="900" w:type="dxa"/>
          </w:tcPr>
          <w:p w:rsidR="00181420" w:rsidRPr="002C7373" w:rsidRDefault="001D3827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No</w:t>
            </w:r>
          </w:p>
        </w:tc>
        <w:tc>
          <w:tcPr>
            <w:tcW w:w="1350" w:type="dxa"/>
          </w:tcPr>
          <w:p w:rsidR="00181420" w:rsidRPr="002C7373" w:rsidRDefault="001D3827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Prior</w:t>
            </w:r>
          </w:p>
        </w:tc>
        <w:tc>
          <w:tcPr>
            <w:tcW w:w="1170" w:type="dxa"/>
          </w:tcPr>
          <w:p w:rsidR="00181420" w:rsidRPr="002C7373" w:rsidRDefault="00181420">
            <w:pPr>
              <w:rPr>
                <w:i/>
                <w:color w:val="0070C0"/>
              </w:rPr>
            </w:pPr>
          </w:p>
        </w:tc>
      </w:tr>
      <w:tr w:rsidR="00423B07" w:rsidTr="00181420">
        <w:tc>
          <w:tcPr>
            <w:tcW w:w="810" w:type="dxa"/>
          </w:tcPr>
          <w:p w:rsidR="00423B07" w:rsidRDefault="00423B07"/>
        </w:tc>
        <w:tc>
          <w:tcPr>
            <w:tcW w:w="1350" w:type="dxa"/>
          </w:tcPr>
          <w:p w:rsidR="00423B07" w:rsidRDefault="00423B07" w:rsidP="003E2F0A">
            <w:pPr>
              <w:rPr>
                <w:sz w:val="20"/>
              </w:rPr>
            </w:pPr>
            <w:r>
              <w:rPr>
                <w:sz w:val="20"/>
              </w:rPr>
              <w:t>Summary of the ICB (Goods)</w:t>
            </w:r>
          </w:p>
        </w:tc>
        <w:tc>
          <w:tcPr>
            <w:tcW w:w="1170" w:type="dxa"/>
          </w:tcPr>
          <w:p w:rsidR="00423B07" w:rsidRPr="002C7373" w:rsidRDefault="00423B07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43.77</w:t>
            </w:r>
          </w:p>
        </w:tc>
        <w:tc>
          <w:tcPr>
            <w:tcW w:w="1350" w:type="dxa"/>
          </w:tcPr>
          <w:p w:rsidR="00423B07" w:rsidRPr="002C7373" w:rsidRDefault="001D3827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15</w:t>
            </w:r>
          </w:p>
        </w:tc>
        <w:tc>
          <w:tcPr>
            <w:tcW w:w="900" w:type="dxa"/>
          </w:tcPr>
          <w:p w:rsidR="00423B07" w:rsidRPr="002C7373" w:rsidRDefault="001D3827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No</w:t>
            </w:r>
          </w:p>
        </w:tc>
        <w:tc>
          <w:tcPr>
            <w:tcW w:w="1350" w:type="dxa"/>
          </w:tcPr>
          <w:p w:rsidR="00423B07" w:rsidRPr="002C7373" w:rsidRDefault="00BA29CB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Prior</w:t>
            </w:r>
          </w:p>
        </w:tc>
        <w:tc>
          <w:tcPr>
            <w:tcW w:w="1170" w:type="dxa"/>
          </w:tcPr>
          <w:p w:rsidR="00423B07" w:rsidRPr="002C7373" w:rsidRDefault="00423B07">
            <w:pPr>
              <w:rPr>
                <w:i/>
                <w:color w:val="0070C0"/>
              </w:rPr>
            </w:pPr>
          </w:p>
        </w:tc>
      </w:tr>
      <w:tr w:rsidR="00181420" w:rsidTr="00181420">
        <w:tc>
          <w:tcPr>
            <w:tcW w:w="810" w:type="dxa"/>
          </w:tcPr>
          <w:p w:rsidR="00181420" w:rsidRDefault="00181420"/>
        </w:tc>
        <w:tc>
          <w:tcPr>
            <w:tcW w:w="1350" w:type="dxa"/>
          </w:tcPr>
          <w:p w:rsidR="00181420" w:rsidRPr="00CE147E" w:rsidRDefault="00423B07" w:rsidP="003E2F0A">
            <w:pPr>
              <w:rPr>
                <w:color w:val="4F81BD"/>
                <w:sz w:val="20"/>
              </w:rPr>
            </w:pPr>
            <w:r>
              <w:rPr>
                <w:sz w:val="20"/>
              </w:rPr>
              <w:t xml:space="preserve">Summary of the </w:t>
            </w:r>
            <w:r>
              <w:rPr>
                <w:sz w:val="20"/>
                <w:lang w:val="fr-FR"/>
              </w:rPr>
              <w:t>NCB (Works)</w:t>
            </w:r>
          </w:p>
        </w:tc>
        <w:tc>
          <w:tcPr>
            <w:tcW w:w="1170" w:type="dxa"/>
          </w:tcPr>
          <w:p w:rsidR="00181420" w:rsidRPr="002C7373" w:rsidRDefault="00BA29CB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64.53</w:t>
            </w:r>
          </w:p>
        </w:tc>
        <w:tc>
          <w:tcPr>
            <w:tcW w:w="1350" w:type="dxa"/>
          </w:tcPr>
          <w:p w:rsidR="00181420" w:rsidRPr="002C7373" w:rsidRDefault="001D3827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18</w:t>
            </w:r>
          </w:p>
        </w:tc>
        <w:tc>
          <w:tcPr>
            <w:tcW w:w="900" w:type="dxa"/>
          </w:tcPr>
          <w:p w:rsidR="00181420" w:rsidRPr="002C7373" w:rsidRDefault="00BA29CB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No</w:t>
            </w:r>
          </w:p>
        </w:tc>
        <w:tc>
          <w:tcPr>
            <w:tcW w:w="1350" w:type="dxa"/>
          </w:tcPr>
          <w:p w:rsidR="00181420" w:rsidRPr="002C7373" w:rsidRDefault="00BA29CB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Post</w:t>
            </w:r>
          </w:p>
        </w:tc>
        <w:tc>
          <w:tcPr>
            <w:tcW w:w="1170" w:type="dxa"/>
          </w:tcPr>
          <w:p w:rsidR="00181420" w:rsidRPr="002C7373" w:rsidRDefault="00BA29CB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1</w:t>
            </w:r>
            <w:r w:rsidRPr="002C7373">
              <w:rPr>
                <w:i/>
                <w:color w:val="0070C0"/>
                <w:vertAlign w:val="superscript"/>
              </w:rPr>
              <w:t>st</w:t>
            </w:r>
            <w:r w:rsidRPr="002C7373">
              <w:rPr>
                <w:i/>
                <w:color w:val="0070C0"/>
              </w:rPr>
              <w:t xml:space="preserve"> contract for Prior Review</w:t>
            </w:r>
          </w:p>
        </w:tc>
      </w:tr>
      <w:tr w:rsidR="00181420" w:rsidTr="00181420">
        <w:tc>
          <w:tcPr>
            <w:tcW w:w="810" w:type="dxa"/>
          </w:tcPr>
          <w:p w:rsidR="00181420" w:rsidRDefault="00181420"/>
        </w:tc>
        <w:tc>
          <w:tcPr>
            <w:tcW w:w="1350" w:type="dxa"/>
          </w:tcPr>
          <w:p w:rsidR="00181420" w:rsidRPr="00CE147E" w:rsidRDefault="00181420" w:rsidP="003E2F0A">
            <w:pPr>
              <w:rPr>
                <w:color w:val="4F81BD"/>
                <w:sz w:val="20"/>
              </w:rPr>
            </w:pPr>
            <w:r>
              <w:rPr>
                <w:sz w:val="20"/>
              </w:rPr>
              <w:t xml:space="preserve">Summary of the </w:t>
            </w:r>
            <w:r>
              <w:rPr>
                <w:sz w:val="20"/>
                <w:lang w:val="fr-FR"/>
              </w:rPr>
              <w:t>NCB (</w:t>
            </w:r>
            <w:proofErr w:type="spellStart"/>
            <w:r w:rsidR="00423B07">
              <w:rPr>
                <w:sz w:val="20"/>
                <w:lang w:val="fr-FR"/>
              </w:rPr>
              <w:t>Goods</w:t>
            </w:r>
            <w:proofErr w:type="spellEnd"/>
            <w:r>
              <w:rPr>
                <w:sz w:val="20"/>
                <w:lang w:val="fr-FR"/>
              </w:rPr>
              <w:t>)</w:t>
            </w:r>
          </w:p>
        </w:tc>
        <w:tc>
          <w:tcPr>
            <w:tcW w:w="1170" w:type="dxa"/>
          </w:tcPr>
          <w:p w:rsidR="00181420" w:rsidRPr="002C7373" w:rsidRDefault="00BA29CB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1.86</w:t>
            </w:r>
          </w:p>
        </w:tc>
        <w:tc>
          <w:tcPr>
            <w:tcW w:w="1350" w:type="dxa"/>
          </w:tcPr>
          <w:p w:rsidR="00181420" w:rsidRPr="002C7373" w:rsidRDefault="001D3827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4</w:t>
            </w:r>
          </w:p>
        </w:tc>
        <w:tc>
          <w:tcPr>
            <w:tcW w:w="900" w:type="dxa"/>
          </w:tcPr>
          <w:p w:rsidR="00181420" w:rsidRPr="002C7373" w:rsidRDefault="00BA29CB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No</w:t>
            </w:r>
          </w:p>
        </w:tc>
        <w:tc>
          <w:tcPr>
            <w:tcW w:w="1350" w:type="dxa"/>
          </w:tcPr>
          <w:p w:rsidR="00181420" w:rsidRPr="002C7373" w:rsidRDefault="00BA29CB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Post</w:t>
            </w:r>
          </w:p>
        </w:tc>
        <w:tc>
          <w:tcPr>
            <w:tcW w:w="1170" w:type="dxa"/>
          </w:tcPr>
          <w:p w:rsidR="00181420" w:rsidRPr="002C7373" w:rsidRDefault="00BA29CB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1</w:t>
            </w:r>
            <w:r w:rsidRPr="002C7373">
              <w:rPr>
                <w:i/>
                <w:color w:val="0070C0"/>
                <w:vertAlign w:val="superscript"/>
              </w:rPr>
              <w:t>st</w:t>
            </w:r>
            <w:r w:rsidRPr="002C7373">
              <w:rPr>
                <w:i/>
                <w:color w:val="0070C0"/>
              </w:rPr>
              <w:t xml:space="preserve"> contract for Prior Review</w:t>
            </w:r>
          </w:p>
        </w:tc>
      </w:tr>
      <w:tr w:rsidR="00181420" w:rsidTr="00181420">
        <w:tc>
          <w:tcPr>
            <w:tcW w:w="810" w:type="dxa"/>
          </w:tcPr>
          <w:p w:rsidR="00181420" w:rsidRDefault="00181420"/>
        </w:tc>
        <w:tc>
          <w:tcPr>
            <w:tcW w:w="1350" w:type="dxa"/>
          </w:tcPr>
          <w:p w:rsidR="00181420" w:rsidRDefault="00181420" w:rsidP="003E2F0A">
            <w:pPr>
              <w:rPr>
                <w:sz w:val="20"/>
                <w:lang w:val="fr-FR"/>
              </w:rPr>
            </w:pPr>
            <w:r>
              <w:rPr>
                <w:sz w:val="20"/>
              </w:rPr>
              <w:t xml:space="preserve">Summary of the </w:t>
            </w:r>
            <w:r w:rsidR="003E2F0A">
              <w:rPr>
                <w:sz w:val="20"/>
              </w:rPr>
              <w:t>I</w:t>
            </w:r>
            <w:r>
              <w:rPr>
                <w:sz w:val="20"/>
                <w:lang w:val="fr-FR"/>
              </w:rPr>
              <w:t>CB (Non-Consultant Services)</w:t>
            </w:r>
          </w:p>
        </w:tc>
        <w:tc>
          <w:tcPr>
            <w:tcW w:w="1170" w:type="dxa"/>
          </w:tcPr>
          <w:p w:rsidR="00181420" w:rsidRPr="002C7373" w:rsidRDefault="001D3827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0.45</w:t>
            </w:r>
          </w:p>
        </w:tc>
        <w:tc>
          <w:tcPr>
            <w:tcW w:w="1350" w:type="dxa"/>
          </w:tcPr>
          <w:p w:rsidR="00181420" w:rsidRPr="002C7373" w:rsidRDefault="001D3827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1</w:t>
            </w:r>
          </w:p>
        </w:tc>
        <w:tc>
          <w:tcPr>
            <w:tcW w:w="900" w:type="dxa"/>
          </w:tcPr>
          <w:p w:rsidR="00181420" w:rsidRPr="002C7373" w:rsidRDefault="001D3827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No</w:t>
            </w:r>
          </w:p>
        </w:tc>
        <w:tc>
          <w:tcPr>
            <w:tcW w:w="1350" w:type="dxa"/>
          </w:tcPr>
          <w:p w:rsidR="00181420" w:rsidRPr="002C7373" w:rsidRDefault="001D3827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Prior</w:t>
            </w:r>
          </w:p>
        </w:tc>
        <w:tc>
          <w:tcPr>
            <w:tcW w:w="1170" w:type="dxa"/>
          </w:tcPr>
          <w:p w:rsidR="00181420" w:rsidRPr="002C7373" w:rsidRDefault="00181420">
            <w:pPr>
              <w:rPr>
                <w:i/>
                <w:color w:val="0070C0"/>
              </w:rPr>
            </w:pPr>
          </w:p>
        </w:tc>
      </w:tr>
    </w:tbl>
    <w:p w:rsidR="001E33D3" w:rsidRDefault="001E33D3">
      <w:pPr>
        <w:pStyle w:val="Heading5"/>
        <w:ind w:left="0"/>
        <w:rPr>
          <w:rFonts w:ascii="Times New Roman" w:hAnsi="Times New Roman"/>
          <w:sz w:val="28"/>
        </w:rPr>
      </w:pPr>
    </w:p>
    <w:p w:rsidR="001E33D3" w:rsidRDefault="001E33D3">
      <w:pPr>
        <w:pStyle w:val="Heading5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III. Selection of Consultants</w:t>
      </w:r>
    </w:p>
    <w:p w:rsidR="001E33D3" w:rsidRDefault="001E33D3"/>
    <w:p w:rsidR="001E33D3" w:rsidRDefault="001E33D3" w:rsidP="00281D86">
      <w:pPr>
        <w:numPr>
          <w:ilvl w:val="0"/>
          <w:numId w:val="7"/>
        </w:numPr>
        <w:ind w:hanging="720"/>
      </w:pPr>
      <w:r>
        <w:rPr>
          <w:b/>
          <w:bCs/>
        </w:rPr>
        <w:t>Prior Review Threshold</w:t>
      </w:r>
      <w:r>
        <w:t>: Selection decisions subject to Prior Review by Bank as stated in Appendix 1 to the Guidelines Selection and Employment of Consultants:</w:t>
      </w:r>
    </w:p>
    <w:p w:rsidR="001E33D3" w:rsidRDefault="001E33D3"/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510"/>
        <w:gridCol w:w="2610"/>
        <w:gridCol w:w="2160"/>
      </w:tblGrid>
      <w:tr w:rsidR="001E33D3">
        <w:tc>
          <w:tcPr>
            <w:tcW w:w="540" w:type="dxa"/>
          </w:tcPr>
          <w:p w:rsidR="001E33D3" w:rsidRDefault="001E33D3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1E33D3" w:rsidRDefault="001E33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Selection  Method</w:t>
            </w:r>
          </w:p>
        </w:tc>
        <w:tc>
          <w:tcPr>
            <w:tcW w:w="2610" w:type="dxa"/>
          </w:tcPr>
          <w:p w:rsidR="001E33D3" w:rsidRDefault="001E33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Prior Review Threshold</w:t>
            </w:r>
          </w:p>
        </w:tc>
        <w:tc>
          <w:tcPr>
            <w:tcW w:w="2160" w:type="dxa"/>
          </w:tcPr>
          <w:p w:rsidR="001E33D3" w:rsidRDefault="001E33D3">
            <w:pPr>
              <w:jc w:val="center"/>
              <w:rPr>
                <w:b/>
                <w:bCs/>
                <w:sz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lang w:val="fr-FR"/>
              </w:rPr>
              <w:t>Comments</w:t>
            </w:r>
            <w:proofErr w:type="spellEnd"/>
          </w:p>
        </w:tc>
      </w:tr>
      <w:tr w:rsidR="00C87392">
        <w:tc>
          <w:tcPr>
            <w:tcW w:w="540" w:type="dxa"/>
          </w:tcPr>
          <w:p w:rsidR="00C87392" w:rsidRDefault="00C87392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1.</w:t>
            </w:r>
          </w:p>
        </w:tc>
        <w:tc>
          <w:tcPr>
            <w:tcW w:w="3510" w:type="dxa"/>
          </w:tcPr>
          <w:p w:rsidR="00C87392" w:rsidRDefault="00C87392">
            <w:pPr>
              <w:rPr>
                <w:sz w:val="20"/>
              </w:rPr>
            </w:pPr>
            <w:r>
              <w:rPr>
                <w:sz w:val="20"/>
              </w:rPr>
              <w:t xml:space="preserve">Competitive Methods  (Firms) </w:t>
            </w:r>
          </w:p>
        </w:tc>
        <w:tc>
          <w:tcPr>
            <w:tcW w:w="2610" w:type="dxa"/>
          </w:tcPr>
          <w:p w:rsidR="00C87392" w:rsidRPr="00C87392" w:rsidRDefault="00C87392" w:rsidP="005D3631">
            <w:pPr>
              <w:spacing w:line="0" w:lineRule="atLeast"/>
              <w:jc w:val="center"/>
              <w:rPr>
                <w:color w:val="0070C0"/>
                <w:sz w:val="20"/>
                <w:lang w:eastAsia="zh-CN"/>
              </w:rPr>
            </w:pPr>
            <w:r w:rsidRPr="00C87392">
              <w:rPr>
                <w:color w:val="0070C0"/>
                <w:sz w:val="20"/>
                <w:lang w:eastAsia="zh-CN"/>
              </w:rPr>
              <w:t>A</w:t>
            </w:r>
            <w:r w:rsidRPr="00C87392">
              <w:rPr>
                <w:rFonts w:hint="eastAsia"/>
                <w:color w:val="0070C0"/>
                <w:sz w:val="20"/>
                <w:lang w:eastAsia="zh-CN"/>
              </w:rPr>
              <w:t>bove US$ 100,000</w:t>
            </w:r>
          </w:p>
        </w:tc>
        <w:tc>
          <w:tcPr>
            <w:tcW w:w="2160" w:type="dxa"/>
          </w:tcPr>
          <w:p w:rsidR="00C87392" w:rsidRDefault="00C87392">
            <w:pPr>
              <w:rPr>
                <w:sz w:val="20"/>
              </w:rPr>
            </w:pPr>
          </w:p>
        </w:tc>
      </w:tr>
      <w:tr w:rsidR="00C87392">
        <w:tc>
          <w:tcPr>
            <w:tcW w:w="540" w:type="dxa"/>
          </w:tcPr>
          <w:p w:rsidR="00C87392" w:rsidRDefault="00C87392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10" w:type="dxa"/>
          </w:tcPr>
          <w:p w:rsidR="00C87392" w:rsidRDefault="00C87392">
            <w:pPr>
              <w:rPr>
                <w:sz w:val="20"/>
              </w:rPr>
            </w:pPr>
            <w:r>
              <w:rPr>
                <w:sz w:val="20"/>
              </w:rPr>
              <w:t>Single Source (Firms)</w:t>
            </w:r>
          </w:p>
        </w:tc>
        <w:tc>
          <w:tcPr>
            <w:tcW w:w="2610" w:type="dxa"/>
          </w:tcPr>
          <w:p w:rsidR="00C87392" w:rsidRPr="00C87392" w:rsidRDefault="00C87392" w:rsidP="005D3631">
            <w:pPr>
              <w:spacing w:line="0" w:lineRule="atLeast"/>
              <w:jc w:val="center"/>
              <w:rPr>
                <w:color w:val="0070C0"/>
                <w:sz w:val="20"/>
                <w:lang w:eastAsia="zh-CN"/>
              </w:rPr>
            </w:pPr>
            <w:r w:rsidRPr="00C87392">
              <w:rPr>
                <w:rFonts w:hint="eastAsia"/>
                <w:color w:val="0070C0"/>
                <w:sz w:val="20"/>
                <w:lang w:eastAsia="zh-CN"/>
              </w:rPr>
              <w:t>All</w:t>
            </w:r>
          </w:p>
        </w:tc>
        <w:tc>
          <w:tcPr>
            <w:tcW w:w="2160" w:type="dxa"/>
          </w:tcPr>
          <w:p w:rsidR="00C87392" w:rsidRDefault="00C87392">
            <w:pPr>
              <w:rPr>
                <w:sz w:val="20"/>
              </w:rPr>
            </w:pPr>
          </w:p>
        </w:tc>
      </w:tr>
      <w:tr w:rsidR="00C87392">
        <w:tc>
          <w:tcPr>
            <w:tcW w:w="540" w:type="dxa"/>
          </w:tcPr>
          <w:p w:rsidR="00C87392" w:rsidRPr="00C87392" w:rsidRDefault="00C87392">
            <w:pPr>
              <w:rPr>
                <w:color w:val="0070C0"/>
                <w:sz w:val="20"/>
              </w:rPr>
            </w:pPr>
            <w:r w:rsidRPr="00C87392">
              <w:rPr>
                <w:color w:val="0070C0"/>
                <w:sz w:val="20"/>
              </w:rPr>
              <w:t>3.</w:t>
            </w:r>
          </w:p>
        </w:tc>
        <w:tc>
          <w:tcPr>
            <w:tcW w:w="3510" w:type="dxa"/>
          </w:tcPr>
          <w:p w:rsidR="00C87392" w:rsidRPr="00C87392" w:rsidRDefault="00C87392">
            <w:pPr>
              <w:rPr>
                <w:color w:val="0070C0"/>
                <w:sz w:val="20"/>
              </w:rPr>
            </w:pPr>
            <w:r w:rsidRPr="00C87392">
              <w:rPr>
                <w:color w:val="0070C0"/>
                <w:sz w:val="20"/>
              </w:rPr>
              <w:t>Individual</w:t>
            </w:r>
          </w:p>
        </w:tc>
        <w:tc>
          <w:tcPr>
            <w:tcW w:w="2610" w:type="dxa"/>
          </w:tcPr>
          <w:p w:rsidR="00C87392" w:rsidRPr="00C87392" w:rsidRDefault="00C87392" w:rsidP="005D3631">
            <w:pPr>
              <w:spacing w:line="0" w:lineRule="atLeast"/>
              <w:jc w:val="center"/>
              <w:rPr>
                <w:color w:val="0070C0"/>
                <w:sz w:val="20"/>
                <w:lang w:eastAsia="zh-CN"/>
              </w:rPr>
            </w:pPr>
            <w:r w:rsidRPr="00C87392">
              <w:rPr>
                <w:color w:val="0070C0"/>
                <w:sz w:val="20"/>
                <w:lang w:eastAsia="zh-CN"/>
              </w:rPr>
              <w:t>A</w:t>
            </w:r>
            <w:r w:rsidRPr="00C87392">
              <w:rPr>
                <w:rFonts w:hint="eastAsia"/>
                <w:color w:val="0070C0"/>
                <w:sz w:val="20"/>
                <w:lang w:eastAsia="zh-CN"/>
              </w:rPr>
              <w:t>bove US$ 50,000</w:t>
            </w:r>
          </w:p>
        </w:tc>
        <w:tc>
          <w:tcPr>
            <w:tcW w:w="2160" w:type="dxa"/>
          </w:tcPr>
          <w:p w:rsidR="00C87392" w:rsidRDefault="00C87392">
            <w:pPr>
              <w:rPr>
                <w:sz w:val="20"/>
              </w:rPr>
            </w:pPr>
          </w:p>
        </w:tc>
      </w:tr>
    </w:tbl>
    <w:p w:rsidR="001E33D3" w:rsidRDefault="001E33D3">
      <w:pPr>
        <w:tabs>
          <w:tab w:val="num" w:pos="4310"/>
          <w:tab w:val="left" w:pos="7247"/>
          <w:tab w:val="left" w:pos="11037"/>
          <w:tab w:val="left" w:pos="14280"/>
        </w:tabs>
        <w:ind w:left="1080"/>
      </w:pPr>
    </w:p>
    <w:p w:rsidR="001E33D3" w:rsidRDefault="001E33D3" w:rsidP="00281D86">
      <w:pPr>
        <w:pStyle w:val="EndnoteText"/>
        <w:tabs>
          <w:tab w:val="left" w:pos="7247"/>
          <w:tab w:val="left" w:pos="11037"/>
          <w:tab w:val="left" w:pos="14280"/>
        </w:tabs>
        <w:ind w:left="720" w:hanging="720"/>
        <w:rPr>
          <w:spacing w:val="0"/>
          <w:szCs w:val="24"/>
        </w:rPr>
      </w:pPr>
      <w:r>
        <w:rPr>
          <w:b/>
          <w:bCs/>
        </w:rPr>
        <w:t xml:space="preserve">2. </w:t>
      </w:r>
      <w:r w:rsidR="00281D86">
        <w:rPr>
          <w:b/>
          <w:bCs/>
        </w:rPr>
        <w:tab/>
      </w:r>
      <w:r>
        <w:rPr>
          <w:b/>
          <w:bCs/>
        </w:rPr>
        <w:t>Short list comprising entirely of national consultants</w:t>
      </w:r>
      <w:r>
        <w:t>: Short list of consultants for services, estimated to cost less than $_</w:t>
      </w:r>
      <w:r w:rsidR="00C87392" w:rsidRPr="002C7373">
        <w:rPr>
          <w:i/>
          <w:color w:val="0070C0"/>
          <w:u w:val="single"/>
        </w:rPr>
        <w:t>300,000</w:t>
      </w:r>
      <w:r>
        <w:t>_equivalent per contract, may comprise entirely of national consultants in accordance with the provisions of paragraph 2.7 of the Consultant Guidelines.</w:t>
      </w:r>
    </w:p>
    <w:p w:rsidR="001E33D3" w:rsidRPr="002C7373" w:rsidRDefault="001E33D3" w:rsidP="00281D86">
      <w:pPr>
        <w:ind w:left="720" w:hanging="720"/>
        <w:rPr>
          <w:i/>
        </w:rPr>
      </w:pPr>
      <w:r w:rsidRPr="002C7373">
        <w:rPr>
          <w:b/>
          <w:bCs/>
          <w:i/>
        </w:rPr>
        <w:lastRenderedPageBreak/>
        <w:t>3.</w:t>
      </w:r>
      <w:r w:rsidRPr="002C7373">
        <w:rPr>
          <w:b/>
          <w:bCs/>
          <w:i/>
        </w:rPr>
        <w:tab/>
        <w:t xml:space="preserve">Any Other Special Selection Arrangements: </w:t>
      </w:r>
      <w:r w:rsidRPr="002C7373">
        <w:rPr>
          <w:i/>
        </w:rPr>
        <w:t>[including advance procurement and retroactive financing, if applicable</w:t>
      </w:r>
      <w:r w:rsidR="002C7373" w:rsidRPr="002C7373">
        <w:rPr>
          <w:i/>
        </w:rPr>
        <w:t xml:space="preserve"> or delete if not applicable</w:t>
      </w:r>
      <w:r w:rsidRPr="002C7373">
        <w:rPr>
          <w:i/>
        </w:rPr>
        <w:t>]</w:t>
      </w:r>
      <w:r w:rsidR="00C87392" w:rsidRPr="002C7373">
        <w:rPr>
          <w:i/>
        </w:rPr>
        <w:t xml:space="preserve"> </w:t>
      </w:r>
    </w:p>
    <w:p w:rsidR="001E33D3" w:rsidRDefault="001E33D3" w:rsidP="00281D86">
      <w:pPr>
        <w:tabs>
          <w:tab w:val="left" w:pos="720"/>
          <w:tab w:val="left" w:pos="11037"/>
          <w:tab w:val="left" w:pos="14280"/>
        </w:tabs>
        <w:ind w:left="720" w:hanging="720"/>
        <w:rPr>
          <w:b/>
          <w:bCs/>
        </w:rPr>
      </w:pPr>
    </w:p>
    <w:p w:rsidR="001E33D3" w:rsidRDefault="001E33D3" w:rsidP="00281D86">
      <w:pPr>
        <w:ind w:left="720" w:hanging="720"/>
      </w:pPr>
      <w:r>
        <w:rPr>
          <w:b/>
          <w:bCs/>
        </w:rPr>
        <w:t>4.</w:t>
      </w:r>
      <w:r>
        <w:rPr>
          <w:b/>
          <w:bCs/>
        </w:rPr>
        <w:tab/>
        <w:t>Consultancy Assignments with Selection Methods and Time Schedule</w:t>
      </w:r>
    </w:p>
    <w:p w:rsidR="001E33D3" w:rsidRDefault="001E33D3"/>
    <w:tbl>
      <w:tblPr>
        <w:tblW w:w="788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530"/>
        <w:gridCol w:w="1170"/>
        <w:gridCol w:w="1260"/>
        <w:gridCol w:w="1170"/>
        <w:gridCol w:w="1406"/>
      </w:tblGrid>
      <w:tr w:rsidR="00181420" w:rsidTr="00181420">
        <w:tc>
          <w:tcPr>
            <w:tcW w:w="1350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530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170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60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170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406" w:type="dxa"/>
          </w:tcPr>
          <w:p w:rsidR="00181420" w:rsidRDefault="001814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181420" w:rsidTr="00181420">
        <w:tc>
          <w:tcPr>
            <w:tcW w:w="1350" w:type="dxa"/>
          </w:tcPr>
          <w:p w:rsidR="00181420" w:rsidRDefault="00181420">
            <w:pPr>
              <w:rPr>
                <w:b/>
                <w:bCs/>
                <w:sz w:val="20"/>
              </w:rPr>
            </w:pPr>
          </w:p>
          <w:p w:rsidR="00181420" w:rsidRDefault="001814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Ref. No.</w:t>
            </w:r>
          </w:p>
          <w:p w:rsidR="00181420" w:rsidRDefault="00181420">
            <w:pPr>
              <w:rPr>
                <w:b/>
                <w:bCs/>
                <w:sz w:val="20"/>
              </w:rPr>
            </w:pPr>
          </w:p>
        </w:tc>
        <w:tc>
          <w:tcPr>
            <w:tcW w:w="1530" w:type="dxa"/>
          </w:tcPr>
          <w:p w:rsidR="00181420" w:rsidRDefault="00181420">
            <w:pPr>
              <w:rPr>
                <w:b/>
                <w:bCs/>
                <w:sz w:val="20"/>
              </w:rPr>
            </w:pPr>
          </w:p>
          <w:p w:rsidR="00181420" w:rsidRDefault="001814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Description of Assignment</w:t>
            </w:r>
          </w:p>
          <w:p w:rsidR="00181420" w:rsidRDefault="00181420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</w:tcPr>
          <w:p w:rsidR="00181420" w:rsidRDefault="00181420">
            <w:pPr>
              <w:rPr>
                <w:b/>
                <w:bCs/>
                <w:sz w:val="20"/>
              </w:rPr>
            </w:pPr>
          </w:p>
          <w:p w:rsidR="00181420" w:rsidRDefault="001814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Estimated </w:t>
            </w:r>
          </w:p>
          <w:p w:rsidR="00181420" w:rsidRDefault="00181420">
            <w:pPr>
              <w:pStyle w:val="Heading3"/>
            </w:pPr>
            <w:r>
              <w:t>Cost</w:t>
            </w:r>
          </w:p>
          <w:p w:rsidR="00181420" w:rsidRPr="00181420" w:rsidRDefault="00181420" w:rsidP="00181420">
            <w:r>
              <w:t>US$</w:t>
            </w:r>
            <w:r w:rsidR="001D3827">
              <w:t xml:space="preserve"> million</w:t>
            </w:r>
          </w:p>
        </w:tc>
        <w:tc>
          <w:tcPr>
            <w:tcW w:w="1260" w:type="dxa"/>
          </w:tcPr>
          <w:p w:rsidR="00181420" w:rsidRDefault="00181420">
            <w:pPr>
              <w:rPr>
                <w:b/>
                <w:bCs/>
                <w:sz w:val="20"/>
              </w:rPr>
            </w:pPr>
          </w:p>
          <w:p w:rsidR="00181420" w:rsidRDefault="001D3827" w:rsidP="001D382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Packages</w:t>
            </w:r>
          </w:p>
        </w:tc>
        <w:tc>
          <w:tcPr>
            <w:tcW w:w="1170" w:type="dxa"/>
          </w:tcPr>
          <w:p w:rsidR="00181420" w:rsidRDefault="00181420">
            <w:pPr>
              <w:rPr>
                <w:b/>
                <w:bCs/>
                <w:sz w:val="20"/>
              </w:rPr>
            </w:pPr>
          </w:p>
          <w:p w:rsidR="00181420" w:rsidRDefault="001814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Review</w:t>
            </w:r>
          </w:p>
          <w:p w:rsidR="00181420" w:rsidRDefault="001814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by Bank</w:t>
            </w:r>
          </w:p>
          <w:p w:rsidR="00181420" w:rsidRDefault="001814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(Prior / Post)</w:t>
            </w:r>
          </w:p>
        </w:tc>
        <w:tc>
          <w:tcPr>
            <w:tcW w:w="1406" w:type="dxa"/>
          </w:tcPr>
          <w:p w:rsidR="00181420" w:rsidRDefault="00181420">
            <w:pPr>
              <w:rPr>
                <w:b/>
                <w:bCs/>
                <w:sz w:val="20"/>
              </w:rPr>
            </w:pPr>
          </w:p>
          <w:p w:rsidR="00181420" w:rsidRDefault="001814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Comments</w:t>
            </w:r>
          </w:p>
        </w:tc>
      </w:tr>
      <w:tr w:rsidR="00181420" w:rsidTr="00181420">
        <w:tc>
          <w:tcPr>
            <w:tcW w:w="1350" w:type="dxa"/>
          </w:tcPr>
          <w:p w:rsidR="00181420" w:rsidRDefault="00181420"/>
        </w:tc>
        <w:tc>
          <w:tcPr>
            <w:tcW w:w="1530" w:type="dxa"/>
          </w:tcPr>
          <w:p w:rsidR="00181420" w:rsidRPr="004276E7" w:rsidRDefault="00181420">
            <w:pPr>
              <w:rPr>
                <w:color w:val="000000" w:themeColor="text1"/>
              </w:rPr>
            </w:pPr>
            <w:r w:rsidRPr="004276E7">
              <w:rPr>
                <w:color w:val="000000" w:themeColor="text1"/>
              </w:rPr>
              <w:t>Summary of number of contracts that will be let under QCBS</w:t>
            </w:r>
          </w:p>
        </w:tc>
        <w:tc>
          <w:tcPr>
            <w:tcW w:w="1170" w:type="dxa"/>
          </w:tcPr>
          <w:p w:rsidR="00181420" w:rsidRPr="002C7373" w:rsidRDefault="00C87392">
            <w:pPr>
              <w:rPr>
                <w:i/>
                <w:color w:val="4F81BD"/>
              </w:rPr>
            </w:pPr>
            <w:r w:rsidRPr="002C7373">
              <w:rPr>
                <w:i/>
                <w:color w:val="4F81BD"/>
              </w:rPr>
              <w:t>4.17</w:t>
            </w:r>
          </w:p>
        </w:tc>
        <w:tc>
          <w:tcPr>
            <w:tcW w:w="1260" w:type="dxa"/>
          </w:tcPr>
          <w:p w:rsidR="00181420" w:rsidRPr="002C7373" w:rsidRDefault="001D3827">
            <w:pPr>
              <w:rPr>
                <w:i/>
                <w:color w:val="4F81BD"/>
              </w:rPr>
            </w:pPr>
            <w:r w:rsidRPr="002C7373">
              <w:rPr>
                <w:i/>
                <w:color w:val="4F81BD"/>
              </w:rPr>
              <w:t>7</w:t>
            </w:r>
          </w:p>
        </w:tc>
        <w:tc>
          <w:tcPr>
            <w:tcW w:w="1170" w:type="dxa"/>
          </w:tcPr>
          <w:p w:rsidR="00181420" w:rsidRPr="002C7373" w:rsidRDefault="00C87392">
            <w:pPr>
              <w:rPr>
                <w:i/>
                <w:color w:val="4F81BD"/>
              </w:rPr>
            </w:pPr>
            <w:r w:rsidRPr="002C7373">
              <w:rPr>
                <w:i/>
                <w:color w:val="4F81BD"/>
              </w:rPr>
              <w:t>Prior</w:t>
            </w:r>
          </w:p>
        </w:tc>
        <w:tc>
          <w:tcPr>
            <w:tcW w:w="1406" w:type="dxa"/>
          </w:tcPr>
          <w:p w:rsidR="00181420" w:rsidRPr="002C7373" w:rsidRDefault="00181420">
            <w:pPr>
              <w:rPr>
                <w:i/>
                <w:color w:val="4F81BD"/>
              </w:rPr>
            </w:pPr>
          </w:p>
        </w:tc>
      </w:tr>
      <w:tr w:rsidR="00181420" w:rsidTr="00181420">
        <w:tc>
          <w:tcPr>
            <w:tcW w:w="1350" w:type="dxa"/>
          </w:tcPr>
          <w:p w:rsidR="00181420" w:rsidRDefault="00181420"/>
        </w:tc>
        <w:tc>
          <w:tcPr>
            <w:tcW w:w="1530" w:type="dxa"/>
          </w:tcPr>
          <w:p w:rsidR="00181420" w:rsidRDefault="004276E7" w:rsidP="004276E7">
            <w:r w:rsidRPr="004276E7">
              <w:t xml:space="preserve">Summary of number of contracts that will be let under </w:t>
            </w:r>
            <w:r>
              <w:t>other methods</w:t>
            </w:r>
          </w:p>
        </w:tc>
        <w:tc>
          <w:tcPr>
            <w:tcW w:w="1170" w:type="dxa"/>
          </w:tcPr>
          <w:p w:rsidR="00181420" w:rsidRPr="002C7373" w:rsidRDefault="00C87392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0.83</w:t>
            </w:r>
          </w:p>
        </w:tc>
        <w:tc>
          <w:tcPr>
            <w:tcW w:w="1260" w:type="dxa"/>
          </w:tcPr>
          <w:p w:rsidR="00181420" w:rsidRPr="002C7373" w:rsidRDefault="001D3827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1</w:t>
            </w:r>
          </w:p>
        </w:tc>
        <w:tc>
          <w:tcPr>
            <w:tcW w:w="1170" w:type="dxa"/>
          </w:tcPr>
          <w:p w:rsidR="00181420" w:rsidRPr="002C7373" w:rsidRDefault="00C87392">
            <w:pPr>
              <w:rPr>
                <w:i/>
                <w:color w:val="0070C0"/>
              </w:rPr>
            </w:pPr>
            <w:r w:rsidRPr="002C7373">
              <w:rPr>
                <w:i/>
                <w:color w:val="0070C0"/>
              </w:rPr>
              <w:t>Prior</w:t>
            </w:r>
          </w:p>
        </w:tc>
        <w:tc>
          <w:tcPr>
            <w:tcW w:w="1406" w:type="dxa"/>
          </w:tcPr>
          <w:p w:rsidR="00181420" w:rsidRPr="002C7373" w:rsidRDefault="001D3827">
            <w:pPr>
              <w:rPr>
                <w:i/>
              </w:rPr>
            </w:pPr>
            <w:r w:rsidRPr="002C7373">
              <w:rPr>
                <w:i/>
              </w:rPr>
              <w:t>CQS</w:t>
            </w:r>
          </w:p>
        </w:tc>
      </w:tr>
    </w:tbl>
    <w:p w:rsidR="001E33D3" w:rsidRDefault="001E33D3"/>
    <w:p w:rsidR="001E33D3" w:rsidRDefault="001E33D3"/>
    <w:p w:rsidR="001E33D3" w:rsidRDefault="001E33D3">
      <w:pPr>
        <w:pStyle w:val="Outline"/>
        <w:spacing w:before="0"/>
        <w:rPr>
          <w:kern w:val="0"/>
        </w:rPr>
      </w:pPr>
    </w:p>
    <w:p w:rsidR="001E33D3" w:rsidRDefault="001E33D3">
      <w:pPr>
        <w:jc w:val="center"/>
      </w:pPr>
    </w:p>
    <w:sectPr w:rsidR="001E33D3" w:rsidSect="00811885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BC" w:rsidRDefault="00FA06BC" w:rsidP="001E33D3">
      <w:r>
        <w:separator/>
      </w:r>
    </w:p>
  </w:endnote>
  <w:endnote w:type="continuationSeparator" w:id="0">
    <w:p w:rsidR="00FA06BC" w:rsidRDefault="00FA06BC" w:rsidP="001E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40" w:rsidRDefault="00255240">
    <w:pPr>
      <w:pStyle w:val="Footer"/>
    </w:pPr>
    <w:r>
      <w:t>July 9, 2010</w:t>
    </w:r>
  </w:p>
  <w:p w:rsidR="00255240" w:rsidRDefault="002552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BC" w:rsidRDefault="00FA06BC" w:rsidP="001E33D3">
      <w:r>
        <w:separator/>
      </w:r>
    </w:p>
  </w:footnote>
  <w:footnote w:type="continuationSeparator" w:id="0">
    <w:p w:rsidR="00FA06BC" w:rsidRDefault="00FA06BC" w:rsidP="001E3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20" w:rsidRDefault="00181420">
    <w:pPr>
      <w:pStyle w:val="Header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231"/>
    <w:multiLevelType w:val="hybridMultilevel"/>
    <w:tmpl w:val="7E8E85E2"/>
    <w:lvl w:ilvl="0" w:tplc="F28EB1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22DD6"/>
    <w:multiLevelType w:val="hybridMultilevel"/>
    <w:tmpl w:val="4FE0D7E0"/>
    <w:lvl w:ilvl="0" w:tplc="A6AA6668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E76C2"/>
    <w:multiLevelType w:val="hybridMultilevel"/>
    <w:tmpl w:val="8F10EADA"/>
    <w:lvl w:ilvl="0" w:tplc="E416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938CD"/>
    <w:multiLevelType w:val="hybridMultilevel"/>
    <w:tmpl w:val="E2BCDF68"/>
    <w:lvl w:ilvl="0" w:tplc="C652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C3639"/>
    <w:multiLevelType w:val="hybridMultilevel"/>
    <w:tmpl w:val="2D323B64"/>
    <w:lvl w:ilvl="0" w:tplc="82C899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6DB22E5"/>
    <w:multiLevelType w:val="hybridMultilevel"/>
    <w:tmpl w:val="5E16FEA2"/>
    <w:lvl w:ilvl="0" w:tplc="AE1A9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3D3"/>
    <w:rsid w:val="00035995"/>
    <w:rsid w:val="000B0250"/>
    <w:rsid w:val="00103B65"/>
    <w:rsid w:val="00181420"/>
    <w:rsid w:val="001D3827"/>
    <w:rsid w:val="001E33D3"/>
    <w:rsid w:val="001F2FA9"/>
    <w:rsid w:val="00254D9B"/>
    <w:rsid w:val="00255240"/>
    <w:rsid w:val="00281D86"/>
    <w:rsid w:val="002C7373"/>
    <w:rsid w:val="003E2F0A"/>
    <w:rsid w:val="00415211"/>
    <w:rsid w:val="00423B07"/>
    <w:rsid w:val="004276E7"/>
    <w:rsid w:val="00496E25"/>
    <w:rsid w:val="004A21B9"/>
    <w:rsid w:val="00566A61"/>
    <w:rsid w:val="005F6882"/>
    <w:rsid w:val="00811885"/>
    <w:rsid w:val="00881911"/>
    <w:rsid w:val="00B11A9A"/>
    <w:rsid w:val="00B62DFC"/>
    <w:rsid w:val="00BA29CB"/>
    <w:rsid w:val="00C87392"/>
    <w:rsid w:val="00CE147E"/>
    <w:rsid w:val="00E804DF"/>
    <w:rsid w:val="00EA0420"/>
    <w:rsid w:val="00EE10B7"/>
    <w:rsid w:val="00FA06BC"/>
    <w:rsid w:val="00FD2B11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85"/>
    <w:rPr>
      <w:sz w:val="24"/>
    </w:rPr>
  </w:style>
  <w:style w:type="paragraph" w:styleId="Heading1">
    <w:name w:val="heading 1"/>
    <w:basedOn w:val="Normal"/>
    <w:next w:val="Normal"/>
    <w:qFormat/>
    <w:rsid w:val="00811885"/>
    <w:pPr>
      <w:keepNext/>
      <w:widowControl w:val="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11885"/>
    <w:pPr>
      <w:keepNext/>
      <w:widowControl w:val="0"/>
      <w:jc w:val="center"/>
      <w:outlineLvl w:val="1"/>
    </w:pPr>
    <w:rPr>
      <w:b/>
      <w:sz w:val="27"/>
    </w:rPr>
  </w:style>
  <w:style w:type="paragraph" w:styleId="Heading3">
    <w:name w:val="heading 3"/>
    <w:basedOn w:val="Normal"/>
    <w:next w:val="Normal"/>
    <w:qFormat/>
    <w:rsid w:val="00811885"/>
    <w:pPr>
      <w:keepNext/>
      <w:widowControl w:val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811885"/>
    <w:pPr>
      <w:keepNext/>
      <w:ind w:left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811885"/>
    <w:pPr>
      <w:keepNext/>
      <w:widowControl w:val="0"/>
      <w:ind w:left="720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811885"/>
    <w:pPr>
      <w:keepNext/>
      <w:widowControl w:val="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811885"/>
    <w:pPr>
      <w:keepNext/>
      <w:widowControl w:val="0"/>
      <w:jc w:val="right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811885"/>
    <w:pPr>
      <w:keepNext/>
      <w:ind w:firstLine="720"/>
      <w:outlineLvl w:val="7"/>
    </w:pPr>
    <w:rPr>
      <w:rFonts w:ascii="Arial" w:hAnsi="Arial"/>
      <w:b/>
      <w:u w:val="single"/>
    </w:rPr>
  </w:style>
  <w:style w:type="paragraph" w:styleId="Heading9">
    <w:name w:val="heading 9"/>
    <w:basedOn w:val="Normal"/>
    <w:next w:val="Normal"/>
    <w:qFormat/>
    <w:rsid w:val="00811885"/>
    <w:pPr>
      <w:keepNext/>
      <w:ind w:left="720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811885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811885"/>
    <w:pPr>
      <w:keepNext/>
      <w:numPr>
        <w:numId w:val="1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811885"/>
    <w:pPr>
      <w:numPr>
        <w:ilvl w:val="1"/>
        <w:numId w:val="2"/>
      </w:numPr>
      <w:tabs>
        <w:tab w:val="clear" w:pos="1152"/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811885"/>
    <w:pPr>
      <w:numPr>
        <w:ilvl w:val="2"/>
        <w:numId w:val="3"/>
      </w:numPr>
      <w:tabs>
        <w:tab w:val="clear" w:pos="1728"/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811885"/>
    <w:pPr>
      <w:numPr>
        <w:ilvl w:val="3"/>
        <w:numId w:val="4"/>
      </w:numPr>
      <w:tabs>
        <w:tab w:val="clear" w:pos="2304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811885"/>
    <w:pPr>
      <w:numPr>
        <w:numId w:val="5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TOC2">
    <w:name w:val="toc 2"/>
    <w:basedOn w:val="Normal"/>
    <w:next w:val="Normal"/>
    <w:autoRedefine/>
    <w:semiHidden/>
    <w:rsid w:val="00811885"/>
    <w:pPr>
      <w:tabs>
        <w:tab w:val="right" w:pos="8640"/>
      </w:tabs>
    </w:pPr>
  </w:style>
  <w:style w:type="paragraph" w:customStyle="1" w:styleId="Headinga">
    <w:name w:val="Heading a"/>
    <w:basedOn w:val="Normal"/>
    <w:rsid w:val="00811885"/>
    <w:pPr>
      <w:widowControl w:val="0"/>
      <w:spacing w:after="120"/>
    </w:pPr>
    <w:rPr>
      <w:sz w:val="22"/>
    </w:rPr>
  </w:style>
  <w:style w:type="paragraph" w:styleId="BodyTextIndent">
    <w:name w:val="Body Text Indent"/>
    <w:basedOn w:val="Normal"/>
    <w:semiHidden/>
    <w:rsid w:val="00811885"/>
    <w:pPr>
      <w:widowControl w:val="0"/>
      <w:ind w:left="2160" w:hanging="720"/>
    </w:pPr>
    <w:rPr>
      <w:rFonts w:ascii="Arial" w:hAnsi="Arial"/>
      <w:sz w:val="20"/>
    </w:rPr>
  </w:style>
  <w:style w:type="character" w:styleId="FootnoteReference">
    <w:name w:val="footnote reference"/>
    <w:basedOn w:val="DefaultParagraphFont"/>
    <w:semiHidden/>
    <w:rsid w:val="00811885"/>
    <w:rPr>
      <w:sz w:val="20"/>
      <w:vertAlign w:val="superscript"/>
    </w:rPr>
  </w:style>
  <w:style w:type="paragraph" w:styleId="FootnoteText">
    <w:name w:val="footnote text"/>
    <w:basedOn w:val="Normal"/>
    <w:semiHidden/>
    <w:rsid w:val="00811885"/>
    <w:pPr>
      <w:widowControl w:val="0"/>
    </w:pPr>
    <w:rPr>
      <w:sz w:val="20"/>
    </w:rPr>
  </w:style>
  <w:style w:type="paragraph" w:customStyle="1" w:styleId="Heading">
    <w:name w:val="Heading"/>
    <w:basedOn w:val="Normal"/>
    <w:rsid w:val="00811885"/>
    <w:pPr>
      <w:keepNext/>
      <w:widowControl w:val="0"/>
      <w:spacing w:before="120" w:after="120"/>
    </w:pPr>
    <w:rPr>
      <w:i/>
      <w:sz w:val="22"/>
    </w:rPr>
  </w:style>
  <w:style w:type="paragraph" w:customStyle="1" w:styleId="Block">
    <w:name w:val="Block"/>
    <w:basedOn w:val="Normal"/>
    <w:rsid w:val="00811885"/>
    <w:pPr>
      <w:widowControl w:val="0"/>
    </w:pPr>
    <w:rPr>
      <w:b/>
      <w:sz w:val="22"/>
    </w:rPr>
  </w:style>
  <w:style w:type="paragraph" w:styleId="TOC1">
    <w:name w:val="toc 1"/>
    <w:basedOn w:val="Normal"/>
    <w:next w:val="Normal"/>
    <w:autoRedefine/>
    <w:semiHidden/>
    <w:rsid w:val="00811885"/>
    <w:pPr>
      <w:tabs>
        <w:tab w:val="decimal" w:pos="-108"/>
      </w:tabs>
      <w:jc w:val="center"/>
    </w:pPr>
    <w:rPr>
      <w:sz w:val="22"/>
    </w:rPr>
  </w:style>
  <w:style w:type="paragraph" w:styleId="BodyTextIndent3">
    <w:name w:val="Body Text Indent 3"/>
    <w:basedOn w:val="Normal"/>
    <w:semiHidden/>
    <w:rsid w:val="00811885"/>
    <w:pPr>
      <w:ind w:left="720"/>
      <w:jc w:val="both"/>
    </w:pPr>
  </w:style>
  <w:style w:type="paragraph" w:styleId="Header">
    <w:name w:val="header"/>
    <w:basedOn w:val="Normal"/>
    <w:semiHidden/>
    <w:rsid w:val="00811885"/>
    <w:pPr>
      <w:widowControl w:val="0"/>
      <w:tabs>
        <w:tab w:val="center" w:pos="4320"/>
        <w:tab w:val="right" w:pos="8640"/>
      </w:tabs>
    </w:pPr>
    <w:rPr>
      <w:sz w:val="20"/>
    </w:rPr>
  </w:style>
  <w:style w:type="paragraph" w:styleId="BodyTextIndent2">
    <w:name w:val="Body Text Indent 2"/>
    <w:basedOn w:val="Normal"/>
    <w:semiHidden/>
    <w:rsid w:val="00811885"/>
    <w:pPr>
      <w:ind w:left="720"/>
    </w:pPr>
    <w:rPr>
      <w:sz w:val="22"/>
    </w:rPr>
  </w:style>
  <w:style w:type="paragraph" w:styleId="BlockText">
    <w:name w:val="Block Text"/>
    <w:basedOn w:val="Normal"/>
    <w:semiHidden/>
    <w:rsid w:val="00811885"/>
    <w:pPr>
      <w:ind w:left="540" w:right="-1422"/>
    </w:pPr>
  </w:style>
  <w:style w:type="paragraph" w:styleId="EndnoteText">
    <w:name w:val="endnote text"/>
    <w:basedOn w:val="Normal"/>
    <w:semiHidden/>
    <w:rsid w:val="00811885"/>
    <w:rPr>
      <w:spacing w:val="-2"/>
    </w:rPr>
  </w:style>
  <w:style w:type="paragraph" w:customStyle="1" w:styleId="ModelNrmlDouble">
    <w:name w:val="ModelNrmlDouble"/>
    <w:basedOn w:val="Normal"/>
    <w:rsid w:val="00811885"/>
    <w:pPr>
      <w:spacing w:after="360" w:line="480" w:lineRule="auto"/>
      <w:ind w:firstLine="720"/>
      <w:jc w:val="both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3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B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B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B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5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24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639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6: Procurement and Disbursement Arrangements</vt:lpstr>
    </vt:vector>
  </TitlesOfParts>
  <Company>The World Bank Group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6: Procurement and Disbursement Arrangements</dc:title>
  <dc:creator>World Bank User</dc:creator>
  <cp:lastModifiedBy>wb97842</cp:lastModifiedBy>
  <cp:revision>6</cp:revision>
  <cp:lastPrinted>2010-06-17T20:28:00Z</cp:lastPrinted>
  <dcterms:created xsi:type="dcterms:W3CDTF">2010-06-22T17:09:00Z</dcterms:created>
  <dcterms:modified xsi:type="dcterms:W3CDTF">2010-07-09T18:55:00Z</dcterms:modified>
</cp:coreProperties>
</file>