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3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780"/>
        <w:gridCol w:w="48"/>
        <w:gridCol w:w="2843"/>
        <w:gridCol w:w="38"/>
        <w:gridCol w:w="48"/>
        <w:gridCol w:w="3032"/>
        <w:gridCol w:w="15"/>
        <w:gridCol w:w="6"/>
        <w:gridCol w:w="43"/>
      </w:tblGrid>
      <w:tr w:rsidR="007149CE" w:rsidRPr="007149CE" w:rsidTr="00027D98">
        <w:trPr>
          <w:gridAfter w:val="2"/>
          <w:wAfter w:w="49" w:type="dxa"/>
          <w:trHeight w:val="480"/>
        </w:trPr>
        <w:tc>
          <w:tcPr>
            <w:tcW w:w="3780" w:type="dxa"/>
          </w:tcPr>
          <w:p w:rsidR="00DA6747" w:rsidRPr="007149CE" w:rsidRDefault="00742907" w:rsidP="00AA6CC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b/>
                <w:snapToGrid w:val="0"/>
                <w:sz w:val="16"/>
                <w:szCs w:val="16"/>
              </w:rPr>
              <w:t xml:space="preserve">                                                                      </w:t>
            </w:r>
            <w:r w:rsidR="003D01C6" w:rsidRPr="007149CE">
              <w:rPr>
                <w:rFonts w:ascii="Trebuchet MS" w:hAnsi="Trebuchet MS"/>
                <w:b/>
                <w:snapToGrid w:val="0"/>
                <w:sz w:val="16"/>
                <w:szCs w:val="16"/>
              </w:rPr>
              <w:t xml:space="preserve">Effective </w:t>
            </w:r>
            <w:r w:rsidR="00163F72" w:rsidRPr="007149CE">
              <w:rPr>
                <w:rFonts w:ascii="Trebuchet MS" w:hAnsi="Trebuchet MS"/>
                <w:b/>
                <w:snapToGrid w:val="0"/>
                <w:sz w:val="16"/>
                <w:szCs w:val="16"/>
              </w:rPr>
              <w:t>January 1, 20</w:t>
            </w:r>
            <w:r w:rsidR="00527026" w:rsidRPr="007149CE">
              <w:rPr>
                <w:rFonts w:ascii="Trebuchet MS" w:hAnsi="Trebuchet MS"/>
                <w:b/>
                <w:snapToGrid w:val="0"/>
                <w:sz w:val="16"/>
                <w:szCs w:val="16"/>
              </w:rPr>
              <w:t>1</w:t>
            </w:r>
            <w:r w:rsidR="00B93625">
              <w:rPr>
                <w:rFonts w:ascii="Trebuchet MS" w:hAnsi="Trebuchet MS"/>
                <w:b/>
                <w:snapToGrid w:val="0"/>
                <w:sz w:val="16"/>
                <w:szCs w:val="16"/>
              </w:rPr>
              <w:t>7</w:t>
            </w:r>
          </w:p>
        </w:tc>
        <w:tc>
          <w:tcPr>
            <w:tcW w:w="2929" w:type="dxa"/>
            <w:gridSpan w:val="3"/>
          </w:tcPr>
          <w:p w:rsidR="002E54E3" w:rsidRPr="007149CE" w:rsidRDefault="003E3328" w:rsidP="00AA6CC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t>U</w:t>
            </w:r>
            <w:r w:rsidR="00394C75" w:rsidRPr="007149CE"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t>.</w:t>
            </w:r>
            <w:r w:rsidRPr="007149CE"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t>S</w:t>
            </w:r>
            <w:r w:rsidR="00394C75" w:rsidRPr="007149CE"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t xml:space="preserve">. </w:t>
            </w:r>
            <w:r w:rsidRPr="007149CE"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  <w:r w:rsidR="006E36A1" w:rsidRPr="007149CE"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t>Networ</w:t>
            </w:r>
            <w:r w:rsidR="009B6146" w:rsidRPr="007149CE"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t>k</w:t>
            </w:r>
          </w:p>
          <w:p w:rsidR="006E36A1" w:rsidRPr="007149CE" w:rsidRDefault="003E3328" w:rsidP="009B614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t xml:space="preserve"> Aetna Open Choice PPO</w:t>
            </w:r>
          </w:p>
        </w:tc>
        <w:tc>
          <w:tcPr>
            <w:tcW w:w="3095" w:type="dxa"/>
            <w:gridSpan w:val="3"/>
          </w:tcPr>
          <w:p w:rsidR="007149CE" w:rsidRPr="007149CE" w:rsidRDefault="007149CE" w:rsidP="009B614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</w:p>
          <w:p w:rsidR="006E36A1" w:rsidRPr="007149CE" w:rsidRDefault="006E36A1" w:rsidP="009B614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t>Out-of-Network</w:t>
            </w:r>
          </w:p>
        </w:tc>
      </w:tr>
      <w:tr w:rsidR="006E36A1" w:rsidRPr="007149CE" w:rsidTr="00027D98">
        <w:trPr>
          <w:gridAfter w:val="2"/>
          <w:wAfter w:w="49" w:type="dxa"/>
          <w:cantSplit/>
          <w:trHeight w:val="240"/>
        </w:trPr>
        <w:tc>
          <w:tcPr>
            <w:tcW w:w="9804" w:type="dxa"/>
            <w:gridSpan w:val="7"/>
            <w:shd w:val="pct12" w:color="000000" w:fill="FFFFFF"/>
          </w:tcPr>
          <w:p w:rsidR="006E36A1" w:rsidRPr="007149CE" w:rsidRDefault="006E36A1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General</w:t>
            </w:r>
          </w:p>
        </w:tc>
      </w:tr>
      <w:tr w:rsidR="007F5EEB" w:rsidRPr="007149CE" w:rsidTr="00027D98">
        <w:trPr>
          <w:gridAfter w:val="2"/>
          <w:wAfter w:w="49" w:type="dxa"/>
          <w:cantSplit/>
          <w:trHeight w:val="240"/>
        </w:trPr>
        <w:tc>
          <w:tcPr>
            <w:tcW w:w="9804" w:type="dxa"/>
            <w:gridSpan w:val="7"/>
            <w:shd w:val="pct12" w:color="000000" w:fill="FFFFFF"/>
          </w:tcPr>
          <w:p w:rsidR="007F5EEB" w:rsidRPr="00DA6747" w:rsidRDefault="007F5EEB" w:rsidP="004E2E78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A plan year is a calendar year, January 1 through December 31</w:t>
            </w:r>
          </w:p>
        </w:tc>
      </w:tr>
      <w:tr w:rsidR="007149CE" w:rsidRPr="007149CE" w:rsidTr="00027D98">
        <w:trPr>
          <w:gridAfter w:val="2"/>
          <w:wAfter w:w="49" w:type="dxa"/>
          <w:cantSplit/>
          <w:trHeight w:val="240"/>
        </w:trPr>
        <w:tc>
          <w:tcPr>
            <w:tcW w:w="3780" w:type="dxa"/>
          </w:tcPr>
          <w:p w:rsidR="004033EA" w:rsidRPr="007149CE" w:rsidRDefault="004033EA" w:rsidP="00AB7F6D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Medical </w:t>
            </w:r>
            <w:r w:rsidR="00AB7F6D">
              <w:rPr>
                <w:rFonts w:ascii="Trebuchet MS" w:hAnsi="Trebuchet MS"/>
                <w:snapToGrid w:val="0"/>
                <w:sz w:val="16"/>
                <w:szCs w:val="16"/>
              </w:rPr>
              <w:t>d</w:t>
            </w: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eductible (per person)</w:t>
            </w:r>
          </w:p>
        </w:tc>
        <w:tc>
          <w:tcPr>
            <w:tcW w:w="6024" w:type="dxa"/>
            <w:gridSpan w:val="6"/>
          </w:tcPr>
          <w:p w:rsidR="004033EA" w:rsidRPr="007149CE" w:rsidRDefault="004033EA" w:rsidP="0021080E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$</w:t>
            </w:r>
            <w:r w:rsidR="00072FCF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  </w:t>
            </w:r>
            <w:r w:rsidR="00B20C03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6</w:t>
            </w:r>
            <w:r w:rsidR="0021080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0</w:t>
            </w:r>
            <w:r w:rsidR="00B20C03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0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per </w:t>
            </w:r>
            <w:r w:rsidR="00DA6747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plan 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year</w:t>
            </w:r>
          </w:p>
        </w:tc>
      </w:tr>
      <w:tr w:rsidR="007149CE" w:rsidRPr="007149CE" w:rsidTr="00027D98">
        <w:trPr>
          <w:gridAfter w:val="2"/>
          <w:wAfter w:w="49" w:type="dxa"/>
          <w:cantSplit/>
          <w:trHeight w:val="240"/>
        </w:trPr>
        <w:tc>
          <w:tcPr>
            <w:tcW w:w="3780" w:type="dxa"/>
          </w:tcPr>
          <w:p w:rsidR="004033EA" w:rsidRPr="007149CE" w:rsidRDefault="004033EA" w:rsidP="00AB7F6D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Medical </w:t>
            </w:r>
            <w:r w:rsidR="00AB7F6D">
              <w:rPr>
                <w:rFonts w:ascii="Trebuchet MS" w:hAnsi="Trebuchet MS"/>
                <w:snapToGrid w:val="0"/>
                <w:sz w:val="16"/>
                <w:szCs w:val="16"/>
              </w:rPr>
              <w:t>d</w:t>
            </w: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eductible (per family)</w:t>
            </w:r>
          </w:p>
        </w:tc>
        <w:tc>
          <w:tcPr>
            <w:tcW w:w="6024" w:type="dxa"/>
            <w:gridSpan w:val="6"/>
          </w:tcPr>
          <w:p w:rsidR="004033EA" w:rsidRPr="007149CE" w:rsidRDefault="004033EA" w:rsidP="0021080E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$</w:t>
            </w:r>
            <w:r w:rsidR="00B20C03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1,</w:t>
            </w:r>
            <w:r w:rsidR="0021080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2</w:t>
            </w:r>
            <w:r w:rsidR="00B20C03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00</w:t>
            </w:r>
            <w:r w:rsidR="007E77AA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per </w:t>
            </w:r>
            <w:r w:rsidR="00AB7F6D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</w:t>
            </w:r>
            <w:r w:rsidR="00DA6747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plan 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year</w:t>
            </w:r>
          </w:p>
        </w:tc>
      </w:tr>
      <w:tr w:rsidR="00D37A50" w:rsidRPr="007149CE" w:rsidTr="00027D98">
        <w:trPr>
          <w:gridAfter w:val="2"/>
          <w:wAfter w:w="49" w:type="dxa"/>
          <w:cantSplit/>
          <w:trHeight w:val="240"/>
        </w:trPr>
        <w:tc>
          <w:tcPr>
            <w:tcW w:w="9804" w:type="dxa"/>
            <w:gridSpan w:val="7"/>
            <w:shd w:val="pct12" w:color="000000" w:fill="FFFFFF"/>
          </w:tcPr>
          <w:p w:rsidR="00D37A50" w:rsidRPr="007149CE" w:rsidRDefault="00CF4BC9" w:rsidP="00DA6747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 xml:space="preserve">Medical </w:t>
            </w:r>
            <w:r w:rsidR="00AB7F6D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o</w:t>
            </w: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ut-of-pocket limits (</w:t>
            </w:r>
            <w:r w:rsidR="00DA6747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O</w:t>
            </w: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ffice visit</w:t>
            </w:r>
            <w:r w:rsidR="00DA6747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co-payments</w:t>
            </w:r>
            <w:r w:rsidR="00DA6747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 xml:space="preserve"> and dental services do not </w:t>
            </w: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accrue toward the out</w:t>
            </w:r>
            <w:r w:rsidR="00AB7F6D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-</w:t>
            </w: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of</w:t>
            </w:r>
            <w:r w:rsidR="00AB7F6D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-</w:t>
            </w: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pocket limits)</w:t>
            </w:r>
          </w:p>
        </w:tc>
      </w:tr>
      <w:tr w:rsidR="007149CE" w:rsidRPr="007149CE" w:rsidTr="00027D98">
        <w:trPr>
          <w:gridAfter w:val="2"/>
          <w:wAfter w:w="49" w:type="dxa"/>
          <w:cantSplit/>
          <w:trHeight w:val="240"/>
        </w:trPr>
        <w:tc>
          <w:tcPr>
            <w:tcW w:w="3780" w:type="dxa"/>
            <w:vAlign w:val="center"/>
          </w:tcPr>
          <w:p w:rsidR="006E36A1" w:rsidRPr="007149CE" w:rsidRDefault="006E36A1" w:rsidP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Medical out-of-pocket limits per person</w:t>
            </w:r>
          </w:p>
        </w:tc>
        <w:tc>
          <w:tcPr>
            <w:tcW w:w="6024" w:type="dxa"/>
            <w:gridSpan w:val="6"/>
          </w:tcPr>
          <w:p w:rsidR="006E36A1" w:rsidRPr="007149CE" w:rsidRDefault="00072FCF" w:rsidP="008D4D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 </w:t>
            </w:r>
            <w:r w:rsidR="009B6146"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$</w:t>
            </w:r>
            <w:r w:rsidR="008D4DA6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4,000</w:t>
            </w:r>
            <w:r w:rsidR="004E073F"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</w:t>
            </w:r>
            <w:r w:rsidR="009B6146"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per </w:t>
            </w:r>
            <w:r w:rsidR="00DA6747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plan  </w:t>
            </w:r>
            <w:r w:rsidR="009B6146"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year </w:t>
            </w:r>
          </w:p>
        </w:tc>
      </w:tr>
      <w:tr w:rsidR="007149CE" w:rsidRPr="007149CE" w:rsidTr="00027D98">
        <w:trPr>
          <w:gridAfter w:val="2"/>
          <w:wAfter w:w="49" w:type="dxa"/>
          <w:cantSplit/>
          <w:trHeight w:val="240"/>
        </w:trPr>
        <w:tc>
          <w:tcPr>
            <w:tcW w:w="3780" w:type="dxa"/>
            <w:vAlign w:val="center"/>
          </w:tcPr>
          <w:p w:rsidR="009B6146" w:rsidRPr="007149CE" w:rsidRDefault="009B6146" w:rsidP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Medical out-of-pocket limits per family</w:t>
            </w:r>
          </w:p>
        </w:tc>
        <w:tc>
          <w:tcPr>
            <w:tcW w:w="6024" w:type="dxa"/>
            <w:gridSpan w:val="6"/>
          </w:tcPr>
          <w:p w:rsidR="009B6146" w:rsidRPr="007149CE" w:rsidRDefault="008D4DA6" w:rsidP="008D4D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 </w:t>
            </w:r>
            <w:r w:rsidR="009B6146"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$</w:t>
            </w: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8,000</w:t>
            </w:r>
            <w:r w:rsidR="004E073F"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</w:t>
            </w:r>
            <w:r w:rsidR="009B6146"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per </w:t>
            </w:r>
            <w:r w:rsidR="00DA6747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plan </w:t>
            </w:r>
            <w:r w:rsidR="009B6146"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year</w:t>
            </w:r>
          </w:p>
        </w:tc>
      </w:tr>
      <w:tr w:rsidR="009B6146" w:rsidRPr="00B66241" w:rsidTr="00027D98">
        <w:trPr>
          <w:gridAfter w:val="2"/>
          <w:wAfter w:w="49" w:type="dxa"/>
          <w:cantSplit/>
          <w:trHeight w:val="240"/>
        </w:trPr>
        <w:tc>
          <w:tcPr>
            <w:tcW w:w="9804" w:type="dxa"/>
            <w:gridSpan w:val="7"/>
            <w:shd w:val="pct12" w:color="000000" w:fill="FFFFFF"/>
          </w:tcPr>
          <w:p w:rsidR="009B6146" w:rsidRPr="00B66241" w:rsidRDefault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 xml:space="preserve">Office </w:t>
            </w:r>
            <w:r w:rsidR="00AB7F6D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V</w:t>
            </w:r>
            <w:r w:rsidRPr="00B66241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isits</w:t>
            </w:r>
          </w:p>
        </w:tc>
      </w:tr>
      <w:tr w:rsidR="008D4DA6" w:rsidRPr="007149CE" w:rsidTr="00027D98">
        <w:trPr>
          <w:gridAfter w:val="1"/>
          <w:wAfter w:w="43" w:type="dxa"/>
          <w:cantSplit/>
          <w:trHeight w:val="240"/>
        </w:trPr>
        <w:tc>
          <w:tcPr>
            <w:tcW w:w="3780" w:type="dxa"/>
          </w:tcPr>
          <w:p w:rsidR="008D4DA6" w:rsidRPr="00B66241" w:rsidRDefault="008D4DA6" w:rsidP="00AB7F6D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 xml:space="preserve">Office visits for </w:t>
            </w:r>
            <w:r>
              <w:rPr>
                <w:rFonts w:ascii="Trebuchet MS" w:hAnsi="Trebuchet MS"/>
                <w:snapToGrid w:val="0"/>
                <w:sz w:val="16"/>
                <w:szCs w:val="16"/>
              </w:rPr>
              <w:t>i</w:t>
            </w: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 xml:space="preserve">llness or </w:t>
            </w:r>
            <w:r>
              <w:rPr>
                <w:rFonts w:ascii="Trebuchet MS" w:hAnsi="Trebuchet MS"/>
                <w:snapToGrid w:val="0"/>
                <w:sz w:val="16"/>
                <w:szCs w:val="16"/>
              </w:rPr>
              <w:t>s</w:t>
            </w: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pecialist</w:t>
            </w:r>
          </w:p>
        </w:tc>
        <w:tc>
          <w:tcPr>
            <w:tcW w:w="2891" w:type="dxa"/>
            <w:gridSpan w:val="2"/>
            <w:vAlign w:val="center"/>
          </w:tcPr>
          <w:p w:rsidR="008D4DA6" w:rsidRPr="00B66241" w:rsidRDefault="008D4DA6" w:rsidP="00D118A0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100% after </w:t>
            </w: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$20</w:t>
            </w:r>
            <w:r w:rsidRP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co-pay</w:t>
            </w:r>
          </w:p>
        </w:tc>
        <w:tc>
          <w:tcPr>
            <w:tcW w:w="3139" w:type="dxa"/>
            <w:gridSpan w:val="5"/>
            <w:vMerge w:val="restart"/>
            <w:vAlign w:val="center"/>
          </w:tcPr>
          <w:p w:rsidR="008D4DA6" w:rsidRPr="00B66241" w:rsidRDefault="008D4DA6" w:rsidP="00AB7F6D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80% after deductible</w:t>
            </w:r>
          </w:p>
        </w:tc>
      </w:tr>
      <w:tr w:rsidR="008D4DA6" w:rsidRPr="007149CE" w:rsidTr="00027D98">
        <w:trPr>
          <w:gridAfter w:val="1"/>
          <w:wAfter w:w="43" w:type="dxa"/>
          <w:cantSplit/>
          <w:trHeight w:val="480"/>
        </w:trPr>
        <w:tc>
          <w:tcPr>
            <w:tcW w:w="3780" w:type="dxa"/>
            <w:vAlign w:val="center"/>
          </w:tcPr>
          <w:p w:rsidR="008D4DA6" w:rsidRPr="000535FA" w:rsidRDefault="008D4DA6" w:rsidP="008D4D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sz w:val="16"/>
                <w:szCs w:val="16"/>
              </w:rPr>
              <w:t>Routine annual physical and d</w:t>
            </w: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efined preventive services*</w:t>
            </w:r>
          </w:p>
        </w:tc>
        <w:tc>
          <w:tcPr>
            <w:tcW w:w="2891" w:type="dxa"/>
            <w:gridSpan w:val="2"/>
          </w:tcPr>
          <w:p w:rsidR="008D4DA6" w:rsidRPr="000535FA" w:rsidRDefault="008D4DA6" w:rsidP="00BC5C99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8D4DA6" w:rsidRPr="00B66241" w:rsidRDefault="008D4DA6" w:rsidP="00BC5C99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0535FA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100% </w:t>
            </w:r>
          </w:p>
        </w:tc>
        <w:tc>
          <w:tcPr>
            <w:tcW w:w="3139" w:type="dxa"/>
            <w:gridSpan w:val="5"/>
            <w:vMerge/>
            <w:vAlign w:val="center"/>
          </w:tcPr>
          <w:p w:rsidR="008D4DA6" w:rsidRPr="007149CE" w:rsidRDefault="008D4DA6" w:rsidP="00BC5C99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8D4DA6" w:rsidRPr="007149CE" w:rsidTr="00027D98">
        <w:trPr>
          <w:gridAfter w:val="1"/>
          <w:wAfter w:w="43" w:type="dxa"/>
          <w:cantSplit/>
          <w:trHeight w:val="480"/>
        </w:trPr>
        <w:tc>
          <w:tcPr>
            <w:tcW w:w="3780" w:type="dxa"/>
            <w:vAlign w:val="center"/>
          </w:tcPr>
          <w:p w:rsidR="008D4DA6" w:rsidRPr="00B66241" w:rsidRDefault="008D4DA6" w:rsidP="008D4D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0535FA">
              <w:rPr>
                <w:rFonts w:ascii="Trebuchet MS" w:hAnsi="Trebuchet MS"/>
                <w:snapToGrid w:val="0"/>
                <w:sz w:val="16"/>
                <w:szCs w:val="16"/>
              </w:rPr>
              <w:t xml:space="preserve">Ob/GYN (well woman) exam – one per plan year*  </w:t>
            </w:r>
          </w:p>
        </w:tc>
        <w:tc>
          <w:tcPr>
            <w:tcW w:w="2891" w:type="dxa"/>
            <w:gridSpan w:val="2"/>
          </w:tcPr>
          <w:p w:rsidR="008D4DA6" w:rsidRPr="00B66241" w:rsidRDefault="008D4DA6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8D4DA6" w:rsidRPr="00B66241" w:rsidRDefault="008D4DA6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139" w:type="dxa"/>
            <w:gridSpan w:val="5"/>
            <w:vMerge/>
            <w:vAlign w:val="center"/>
          </w:tcPr>
          <w:p w:rsidR="008D4DA6" w:rsidRPr="007149CE" w:rsidRDefault="008D4DA6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7149CE" w:rsidRPr="007149CE" w:rsidTr="00027D98">
        <w:trPr>
          <w:gridAfter w:val="3"/>
          <w:wAfter w:w="64" w:type="dxa"/>
          <w:cantSplit/>
          <w:trHeight w:val="240"/>
        </w:trPr>
        <w:tc>
          <w:tcPr>
            <w:tcW w:w="9789" w:type="dxa"/>
            <w:gridSpan w:val="6"/>
            <w:shd w:val="pct12" w:color="000000" w:fill="FFFFFF"/>
          </w:tcPr>
          <w:p w:rsidR="007149CE" w:rsidRPr="007149CE" w:rsidRDefault="007149CE" w:rsidP="007149CE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Laboratory and X-rays</w:t>
            </w:r>
          </w:p>
        </w:tc>
      </w:tr>
      <w:tr w:rsidR="00072FCF" w:rsidRPr="007149CE" w:rsidTr="00027D98">
        <w:trPr>
          <w:gridAfter w:val="3"/>
          <w:wAfter w:w="64" w:type="dxa"/>
          <w:cantSplit/>
          <w:trHeight w:val="480"/>
        </w:trPr>
        <w:tc>
          <w:tcPr>
            <w:tcW w:w="3780" w:type="dxa"/>
            <w:tcBorders>
              <w:bottom w:val="single" w:sz="6" w:space="0" w:color="000000"/>
            </w:tcBorders>
            <w:vAlign w:val="center"/>
          </w:tcPr>
          <w:p w:rsidR="00072FCF" w:rsidRPr="007149CE" w:rsidRDefault="00072FCF" w:rsidP="00AB7F6D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All services (unless covered under defined preventive services</w:t>
            </w:r>
            <w:r>
              <w:rPr>
                <w:rFonts w:ascii="Trebuchet MS" w:hAnsi="Trebuchet MS"/>
                <w:snapToGrid w:val="0"/>
                <w:sz w:val="16"/>
                <w:szCs w:val="16"/>
              </w:rPr>
              <w:t xml:space="preserve"> above</w:t>
            </w: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)</w:t>
            </w:r>
          </w:p>
        </w:tc>
        <w:tc>
          <w:tcPr>
            <w:tcW w:w="6009" w:type="dxa"/>
            <w:gridSpan w:val="5"/>
            <w:tcBorders>
              <w:bottom w:val="single" w:sz="6" w:space="0" w:color="000000"/>
            </w:tcBorders>
          </w:tcPr>
          <w:p w:rsidR="00072FCF" w:rsidRDefault="00072FCF" w:rsidP="00072FC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072FCF" w:rsidRPr="007149CE" w:rsidRDefault="00072FCF" w:rsidP="00072FC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80% after deductible</w:t>
            </w:r>
          </w:p>
        </w:tc>
      </w:tr>
      <w:tr w:rsidR="007149CE" w:rsidRPr="007149CE" w:rsidTr="00027D98">
        <w:trPr>
          <w:gridAfter w:val="2"/>
          <w:wAfter w:w="49" w:type="dxa"/>
          <w:cantSplit/>
          <w:trHeight w:val="240"/>
        </w:trPr>
        <w:tc>
          <w:tcPr>
            <w:tcW w:w="9804" w:type="dxa"/>
            <w:gridSpan w:val="7"/>
            <w:shd w:val="pct12" w:color="000000" w:fill="FFFFFF"/>
          </w:tcPr>
          <w:p w:rsidR="007149CE" w:rsidRPr="007149CE" w:rsidRDefault="007149CE" w:rsidP="00AB7F6D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 xml:space="preserve">Emergency </w:t>
            </w:r>
            <w:r w:rsidR="00AB7F6D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R</w:t>
            </w: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 xml:space="preserve">oom </w:t>
            </w:r>
            <w:r w:rsidR="00AB7F6D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R</w:t>
            </w: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elated</w:t>
            </w:r>
          </w:p>
        </w:tc>
      </w:tr>
      <w:tr w:rsidR="008D4DA6" w:rsidRPr="007149CE" w:rsidTr="00027D98">
        <w:trPr>
          <w:gridAfter w:val="2"/>
          <w:wAfter w:w="49" w:type="dxa"/>
          <w:cantSplit/>
          <w:trHeight w:val="240"/>
        </w:trPr>
        <w:tc>
          <w:tcPr>
            <w:tcW w:w="3780" w:type="dxa"/>
            <w:vAlign w:val="center"/>
          </w:tcPr>
          <w:p w:rsidR="008D4DA6" w:rsidRPr="00B66241" w:rsidRDefault="005D2658" w:rsidP="006342EA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hyperlink r:id="rId8" w:history="1">
              <w:r w:rsidR="008D4DA6" w:rsidRPr="00B66241">
                <w:rPr>
                  <w:rStyle w:val="Hyperlink"/>
                  <w:rFonts w:ascii="Trebuchet MS" w:hAnsi="Trebuchet MS"/>
                  <w:snapToGrid w:val="0"/>
                  <w:color w:val="000000"/>
                  <w:sz w:val="16"/>
                  <w:szCs w:val="16"/>
                  <w:u w:val="none"/>
                </w:rPr>
                <w:t xml:space="preserve">Emergency </w:t>
              </w:r>
              <w:r w:rsidR="008D4DA6">
                <w:rPr>
                  <w:rStyle w:val="Hyperlink"/>
                  <w:rFonts w:ascii="Trebuchet MS" w:hAnsi="Trebuchet MS"/>
                  <w:snapToGrid w:val="0"/>
                  <w:color w:val="000000"/>
                  <w:sz w:val="16"/>
                  <w:szCs w:val="16"/>
                  <w:u w:val="none"/>
                </w:rPr>
                <w:t>r</w:t>
              </w:r>
              <w:r w:rsidR="008D4DA6" w:rsidRPr="00B66241">
                <w:rPr>
                  <w:rStyle w:val="Hyperlink"/>
                  <w:rFonts w:ascii="Trebuchet MS" w:hAnsi="Trebuchet MS"/>
                  <w:snapToGrid w:val="0"/>
                  <w:color w:val="000000"/>
                  <w:sz w:val="16"/>
                  <w:szCs w:val="16"/>
                  <w:u w:val="none"/>
                </w:rPr>
                <w:t>oom</w:t>
              </w:r>
            </w:hyperlink>
          </w:p>
        </w:tc>
        <w:tc>
          <w:tcPr>
            <w:tcW w:w="6024" w:type="dxa"/>
            <w:gridSpan w:val="6"/>
            <w:vMerge w:val="restart"/>
          </w:tcPr>
          <w:p w:rsidR="008D4DA6" w:rsidRDefault="008D4DA6" w:rsidP="00072FC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8D4DA6" w:rsidRPr="007149CE" w:rsidRDefault="008D4DA6" w:rsidP="00072FC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80% after deductible   </w:t>
            </w:r>
          </w:p>
        </w:tc>
      </w:tr>
      <w:tr w:rsidR="008D4DA6" w:rsidRPr="007149CE" w:rsidTr="00027D98">
        <w:trPr>
          <w:gridAfter w:val="2"/>
          <w:wAfter w:w="49" w:type="dxa"/>
          <w:cantSplit/>
          <w:trHeight w:val="240"/>
        </w:trPr>
        <w:tc>
          <w:tcPr>
            <w:tcW w:w="3780" w:type="dxa"/>
            <w:vAlign w:val="center"/>
          </w:tcPr>
          <w:p w:rsidR="008D4DA6" w:rsidRPr="00B66241" w:rsidRDefault="005D2658" w:rsidP="006342EA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hyperlink r:id="rId9" w:history="1">
              <w:r w:rsidR="008D4DA6" w:rsidRPr="00B66241">
                <w:rPr>
                  <w:rStyle w:val="Hyperlink"/>
                  <w:rFonts w:ascii="Trebuchet MS" w:hAnsi="Trebuchet MS"/>
                  <w:snapToGrid w:val="0"/>
                  <w:color w:val="000000"/>
                  <w:sz w:val="16"/>
                  <w:szCs w:val="16"/>
                  <w:u w:val="none"/>
                </w:rPr>
                <w:t xml:space="preserve">Ambulance </w:t>
              </w:r>
              <w:r w:rsidR="008D4DA6">
                <w:rPr>
                  <w:rStyle w:val="Hyperlink"/>
                  <w:rFonts w:ascii="Trebuchet MS" w:hAnsi="Trebuchet MS"/>
                  <w:snapToGrid w:val="0"/>
                  <w:color w:val="000000"/>
                  <w:sz w:val="16"/>
                  <w:szCs w:val="16"/>
                  <w:u w:val="none"/>
                </w:rPr>
                <w:t>s</w:t>
              </w:r>
              <w:r w:rsidR="008D4DA6" w:rsidRPr="00B66241">
                <w:rPr>
                  <w:rStyle w:val="Hyperlink"/>
                  <w:rFonts w:ascii="Trebuchet MS" w:hAnsi="Trebuchet MS"/>
                  <w:snapToGrid w:val="0"/>
                  <w:color w:val="000000"/>
                  <w:sz w:val="16"/>
                  <w:szCs w:val="16"/>
                  <w:u w:val="none"/>
                </w:rPr>
                <w:t>ervices</w:t>
              </w:r>
            </w:hyperlink>
          </w:p>
        </w:tc>
        <w:tc>
          <w:tcPr>
            <w:tcW w:w="6024" w:type="dxa"/>
            <w:gridSpan w:val="6"/>
            <w:vMerge/>
          </w:tcPr>
          <w:p w:rsidR="008D4DA6" w:rsidRPr="007149CE" w:rsidRDefault="008D4DA6" w:rsidP="00AB7F6D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9B6146" w:rsidRPr="007149CE" w:rsidTr="00027D98">
        <w:trPr>
          <w:gridAfter w:val="2"/>
          <w:wAfter w:w="49" w:type="dxa"/>
          <w:cantSplit/>
          <w:trHeight w:val="240"/>
        </w:trPr>
        <w:tc>
          <w:tcPr>
            <w:tcW w:w="9804" w:type="dxa"/>
            <w:gridSpan w:val="7"/>
            <w:shd w:val="pct12" w:color="000000" w:fill="FFFFFF"/>
          </w:tcPr>
          <w:p w:rsidR="009B6146" w:rsidRPr="007149CE" w:rsidRDefault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Inpatient</w:t>
            </w:r>
          </w:p>
        </w:tc>
      </w:tr>
      <w:tr w:rsidR="00072FCF" w:rsidRPr="007149CE" w:rsidTr="00027D98">
        <w:trPr>
          <w:gridAfter w:val="2"/>
          <w:wAfter w:w="49" w:type="dxa"/>
          <w:cantSplit/>
          <w:trHeight w:val="240"/>
        </w:trPr>
        <w:tc>
          <w:tcPr>
            <w:tcW w:w="3780" w:type="dxa"/>
          </w:tcPr>
          <w:p w:rsidR="00072FCF" w:rsidRPr="007149CE" w:rsidRDefault="00072FCF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Hospital costs including anesthesia</w:t>
            </w:r>
          </w:p>
        </w:tc>
        <w:tc>
          <w:tcPr>
            <w:tcW w:w="6024" w:type="dxa"/>
            <w:gridSpan w:val="6"/>
            <w:vMerge w:val="restart"/>
          </w:tcPr>
          <w:p w:rsidR="00072FCF" w:rsidRPr="007149CE" w:rsidRDefault="00072FCF" w:rsidP="009B614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072FCF" w:rsidRPr="007149CE" w:rsidRDefault="00072FCF" w:rsidP="00AB7F6D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80% after deductible</w:t>
            </w:r>
          </w:p>
        </w:tc>
      </w:tr>
      <w:tr w:rsidR="00072FCF" w:rsidRPr="007149CE" w:rsidTr="00027D98">
        <w:trPr>
          <w:gridAfter w:val="2"/>
          <w:wAfter w:w="49" w:type="dxa"/>
          <w:cantSplit/>
          <w:trHeight w:val="240"/>
        </w:trPr>
        <w:tc>
          <w:tcPr>
            <w:tcW w:w="3780" w:type="dxa"/>
          </w:tcPr>
          <w:p w:rsidR="00072FCF" w:rsidRPr="007149CE" w:rsidRDefault="00072FCF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Surgery (physician)</w:t>
            </w:r>
          </w:p>
        </w:tc>
        <w:tc>
          <w:tcPr>
            <w:tcW w:w="6024" w:type="dxa"/>
            <w:gridSpan w:val="6"/>
            <w:vMerge/>
          </w:tcPr>
          <w:p w:rsidR="00072FCF" w:rsidRPr="007149CE" w:rsidRDefault="00072FCF" w:rsidP="006E36A1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072FCF" w:rsidRPr="007149CE" w:rsidTr="00027D98">
        <w:trPr>
          <w:gridAfter w:val="2"/>
          <w:wAfter w:w="49" w:type="dxa"/>
          <w:cantSplit/>
          <w:trHeight w:val="240"/>
        </w:trPr>
        <w:tc>
          <w:tcPr>
            <w:tcW w:w="3780" w:type="dxa"/>
          </w:tcPr>
          <w:p w:rsidR="00072FCF" w:rsidRPr="007149CE" w:rsidRDefault="00072FCF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Hospice</w:t>
            </w:r>
          </w:p>
        </w:tc>
        <w:tc>
          <w:tcPr>
            <w:tcW w:w="6024" w:type="dxa"/>
            <w:gridSpan w:val="6"/>
            <w:vMerge/>
          </w:tcPr>
          <w:p w:rsidR="00072FCF" w:rsidRPr="007149CE" w:rsidRDefault="00072FC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9B6146" w:rsidRPr="007149CE" w:rsidTr="00027D98">
        <w:trPr>
          <w:gridAfter w:val="2"/>
          <w:wAfter w:w="49" w:type="dxa"/>
          <w:cantSplit/>
          <w:trHeight w:val="240"/>
        </w:trPr>
        <w:tc>
          <w:tcPr>
            <w:tcW w:w="9804" w:type="dxa"/>
            <w:gridSpan w:val="7"/>
            <w:shd w:val="pct12" w:color="000000" w:fill="FFFFFF"/>
          </w:tcPr>
          <w:p w:rsidR="009B6146" w:rsidRPr="007149CE" w:rsidRDefault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Outpatient</w:t>
            </w:r>
          </w:p>
        </w:tc>
      </w:tr>
      <w:tr w:rsidR="00072FCF" w:rsidRPr="007149CE" w:rsidTr="00027D98">
        <w:trPr>
          <w:gridAfter w:val="2"/>
          <w:wAfter w:w="49" w:type="dxa"/>
          <w:cantSplit/>
          <w:trHeight w:val="240"/>
        </w:trPr>
        <w:tc>
          <w:tcPr>
            <w:tcW w:w="3780" w:type="dxa"/>
          </w:tcPr>
          <w:p w:rsidR="00072FCF" w:rsidRPr="007149CE" w:rsidRDefault="00072FCF" w:rsidP="00A33C38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Hospital costs including anesthesia</w:t>
            </w:r>
          </w:p>
        </w:tc>
        <w:tc>
          <w:tcPr>
            <w:tcW w:w="6024" w:type="dxa"/>
            <w:gridSpan w:val="6"/>
            <w:vMerge w:val="restart"/>
          </w:tcPr>
          <w:p w:rsidR="00072FCF" w:rsidRPr="007149CE" w:rsidRDefault="00072FCF" w:rsidP="00AB7F6D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072FCF" w:rsidRPr="007149CE" w:rsidRDefault="00072FCF" w:rsidP="00AB7F6D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80% after deductible</w:t>
            </w:r>
          </w:p>
        </w:tc>
      </w:tr>
      <w:tr w:rsidR="00072FCF" w:rsidRPr="007149CE" w:rsidTr="00027D98">
        <w:trPr>
          <w:gridAfter w:val="2"/>
          <w:wAfter w:w="49" w:type="dxa"/>
          <w:cantSplit/>
          <w:trHeight w:val="240"/>
        </w:trPr>
        <w:tc>
          <w:tcPr>
            <w:tcW w:w="3780" w:type="dxa"/>
          </w:tcPr>
          <w:p w:rsidR="00072FCF" w:rsidRPr="007149CE" w:rsidRDefault="00072FCF" w:rsidP="00A33C38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Surgery (physician)</w:t>
            </w:r>
          </w:p>
        </w:tc>
        <w:tc>
          <w:tcPr>
            <w:tcW w:w="6024" w:type="dxa"/>
            <w:gridSpan w:val="6"/>
            <w:vMerge/>
          </w:tcPr>
          <w:p w:rsidR="00072FCF" w:rsidRPr="007149CE" w:rsidRDefault="00072FCF" w:rsidP="00A33C38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072FCF" w:rsidRPr="007149CE" w:rsidTr="00027D98">
        <w:trPr>
          <w:gridAfter w:val="2"/>
          <w:wAfter w:w="49" w:type="dxa"/>
          <w:cantSplit/>
          <w:trHeight w:val="240"/>
        </w:trPr>
        <w:tc>
          <w:tcPr>
            <w:tcW w:w="3780" w:type="dxa"/>
          </w:tcPr>
          <w:p w:rsidR="00072FCF" w:rsidRPr="007149CE" w:rsidRDefault="00072FCF" w:rsidP="00A33C38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Hospice</w:t>
            </w:r>
          </w:p>
        </w:tc>
        <w:tc>
          <w:tcPr>
            <w:tcW w:w="6024" w:type="dxa"/>
            <w:gridSpan w:val="6"/>
            <w:vMerge/>
          </w:tcPr>
          <w:p w:rsidR="00072FCF" w:rsidRPr="007149CE" w:rsidRDefault="00072FCF" w:rsidP="00A33C38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9B6146" w:rsidRPr="007149CE" w:rsidTr="00027D98">
        <w:trPr>
          <w:gridAfter w:val="2"/>
          <w:wAfter w:w="49" w:type="dxa"/>
          <w:cantSplit/>
          <w:trHeight w:val="240"/>
        </w:trPr>
        <w:tc>
          <w:tcPr>
            <w:tcW w:w="9804" w:type="dxa"/>
            <w:gridSpan w:val="7"/>
            <w:shd w:val="pct10" w:color="auto" w:fill="auto"/>
          </w:tcPr>
          <w:p w:rsidR="009B6146" w:rsidRPr="007149CE" w:rsidRDefault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Chemotherapy and Radiation Therapy</w:t>
            </w:r>
          </w:p>
        </w:tc>
      </w:tr>
      <w:tr w:rsidR="007149CE" w:rsidRPr="007149CE" w:rsidTr="00027D98">
        <w:trPr>
          <w:gridAfter w:val="2"/>
          <w:wAfter w:w="49" w:type="dxa"/>
          <w:cantSplit/>
          <w:trHeight w:val="720"/>
        </w:trPr>
        <w:tc>
          <w:tcPr>
            <w:tcW w:w="3780" w:type="dxa"/>
          </w:tcPr>
          <w:p w:rsidR="003E3328" w:rsidRPr="007149CE" w:rsidRDefault="009B6146" w:rsidP="00AB7F6D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Chemotherapy and </w:t>
            </w:r>
            <w:r w:rsidR="00AB7F6D">
              <w:rPr>
                <w:rFonts w:ascii="Trebuchet MS" w:hAnsi="Trebuchet MS"/>
                <w:snapToGrid w:val="0"/>
                <w:sz w:val="16"/>
                <w:szCs w:val="16"/>
              </w:rPr>
              <w:t>r</w:t>
            </w: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adiation </w:t>
            </w:r>
            <w:r w:rsidR="00AB7F6D">
              <w:rPr>
                <w:rFonts w:ascii="Trebuchet MS" w:hAnsi="Trebuchet MS"/>
                <w:snapToGrid w:val="0"/>
                <w:sz w:val="16"/>
                <w:szCs w:val="16"/>
              </w:rPr>
              <w:t>t</w:t>
            </w: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herapy</w:t>
            </w:r>
            <w:r w:rsidR="00B66241">
              <w:rPr>
                <w:rFonts w:ascii="Trebuchet MS" w:hAnsi="Trebuchet MS"/>
                <w:snapToGrid w:val="0"/>
                <w:sz w:val="16"/>
                <w:szCs w:val="16"/>
              </w:rPr>
              <w:t>:</w:t>
            </w:r>
            <w:r w:rsidR="00AB7F6D">
              <w:rPr>
                <w:rFonts w:ascii="Trebuchet MS" w:hAnsi="Trebuchet MS"/>
                <w:snapToGrid w:val="0"/>
                <w:sz w:val="16"/>
                <w:szCs w:val="16"/>
              </w:rPr>
              <w:t xml:space="preserve"> </w:t>
            </w:r>
            <w:r w:rsidR="00AB7F6D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d</w:t>
            </w:r>
            <w:r w:rsidR="00B66241"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oes not include oral </w:t>
            </w:r>
            <w:r w:rsid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or injectable </w:t>
            </w:r>
            <w:r w:rsidR="00B66241"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medications purchased through pharmacy</w:t>
            </w:r>
            <w:r w:rsid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benefit</w:t>
            </w:r>
            <w:r w:rsidR="003D01C6"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6024" w:type="dxa"/>
            <w:gridSpan w:val="6"/>
            <w:vAlign w:val="center"/>
          </w:tcPr>
          <w:p w:rsidR="00072FCF" w:rsidRDefault="009B6146" w:rsidP="00072FC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100% </w:t>
            </w:r>
            <w:r w:rsidR="00072FCF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9B6146" w:rsidRPr="007149CE" w:rsidRDefault="002E54E3" w:rsidP="00072FC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I</w:t>
            </w:r>
            <w:r w:rsidR="0014245B"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n-office/facility administration</w:t>
            </w:r>
            <w:r w:rsidR="007149CE"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</w:t>
            </w:r>
            <w:r w:rsid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only</w:t>
            </w:r>
          </w:p>
        </w:tc>
      </w:tr>
      <w:tr w:rsidR="009B6146" w:rsidRPr="007149CE" w:rsidTr="00027D98">
        <w:trPr>
          <w:gridAfter w:val="2"/>
          <w:wAfter w:w="49" w:type="dxa"/>
          <w:cantSplit/>
          <w:trHeight w:val="240"/>
        </w:trPr>
        <w:tc>
          <w:tcPr>
            <w:tcW w:w="9804" w:type="dxa"/>
            <w:gridSpan w:val="7"/>
            <w:shd w:val="clear" w:color="auto" w:fill="E6E6E6"/>
          </w:tcPr>
          <w:p w:rsidR="009B6146" w:rsidRPr="007149CE" w:rsidRDefault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Maternity</w:t>
            </w:r>
          </w:p>
        </w:tc>
      </w:tr>
      <w:tr w:rsidR="007149CE" w:rsidRPr="007149CE" w:rsidTr="00027D98">
        <w:trPr>
          <w:gridAfter w:val="2"/>
          <w:wAfter w:w="49" w:type="dxa"/>
          <w:cantSplit/>
          <w:trHeight w:val="960"/>
        </w:trPr>
        <w:tc>
          <w:tcPr>
            <w:tcW w:w="3780" w:type="dxa"/>
            <w:vAlign w:val="center"/>
          </w:tcPr>
          <w:p w:rsidR="004E073F" w:rsidRPr="00B66241" w:rsidRDefault="004E073F" w:rsidP="00AB7F6D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Obstetrics:</w:t>
            </w:r>
          </w:p>
          <w:p w:rsidR="004E073F" w:rsidRPr="00B66241" w:rsidRDefault="004E073F" w:rsidP="00AB7F6D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Single fee/delivery charge incl</w:t>
            </w:r>
            <w:r w:rsidR="00AB7F6D">
              <w:rPr>
                <w:rFonts w:ascii="Trebuchet MS" w:hAnsi="Trebuchet MS"/>
                <w:snapToGrid w:val="0"/>
                <w:sz w:val="16"/>
                <w:szCs w:val="16"/>
              </w:rPr>
              <w:t>uding o</w:t>
            </w: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ffice visits</w:t>
            </w:r>
          </w:p>
        </w:tc>
        <w:tc>
          <w:tcPr>
            <w:tcW w:w="2891" w:type="dxa"/>
            <w:gridSpan w:val="2"/>
          </w:tcPr>
          <w:p w:rsidR="00072FCF" w:rsidRDefault="00072FCF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837097" w:rsidRDefault="00B20C03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80% after deductible</w:t>
            </w:r>
          </w:p>
          <w:p w:rsidR="004E073F" w:rsidRPr="00B66241" w:rsidRDefault="00837097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Routine prenatal office visits covered at 100%, no deductible</w:t>
            </w:r>
            <w:r w:rsidR="00362DB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33" w:type="dxa"/>
            <w:gridSpan w:val="4"/>
            <w:vMerge w:val="restart"/>
            <w:vAlign w:val="center"/>
          </w:tcPr>
          <w:p w:rsidR="004E073F" w:rsidRPr="00B66241" w:rsidRDefault="004E073F" w:rsidP="00AB7F6D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80% after deductible</w:t>
            </w:r>
          </w:p>
        </w:tc>
      </w:tr>
      <w:tr w:rsidR="007149CE" w:rsidRPr="007149CE" w:rsidTr="00027D98">
        <w:trPr>
          <w:gridAfter w:val="2"/>
          <w:wAfter w:w="49" w:type="dxa"/>
          <w:cantSplit/>
          <w:trHeight w:val="720"/>
        </w:trPr>
        <w:tc>
          <w:tcPr>
            <w:tcW w:w="3780" w:type="dxa"/>
            <w:vAlign w:val="center"/>
          </w:tcPr>
          <w:p w:rsidR="004E073F" w:rsidRPr="00B66241" w:rsidRDefault="004E073F" w:rsidP="004E073F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 xml:space="preserve">Obstetrics: </w:t>
            </w:r>
          </w:p>
          <w:p w:rsidR="004E073F" w:rsidRPr="00B66241" w:rsidRDefault="00837097" w:rsidP="00837097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sz w:val="16"/>
                <w:szCs w:val="16"/>
              </w:rPr>
              <w:t>Routine prenatal o</w:t>
            </w:r>
            <w:r w:rsidR="004E073F" w:rsidRPr="00B66241">
              <w:rPr>
                <w:rFonts w:ascii="Trebuchet MS" w:hAnsi="Trebuchet MS"/>
                <w:snapToGrid w:val="0"/>
                <w:sz w:val="16"/>
                <w:szCs w:val="16"/>
              </w:rPr>
              <w:t>ffice visits billed separately from single fee</w:t>
            </w:r>
          </w:p>
        </w:tc>
        <w:tc>
          <w:tcPr>
            <w:tcW w:w="2891" w:type="dxa"/>
            <w:gridSpan w:val="2"/>
            <w:vAlign w:val="center"/>
          </w:tcPr>
          <w:p w:rsidR="004E073F" w:rsidRPr="00B66241" w:rsidRDefault="004E073F" w:rsidP="00837097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100% </w:t>
            </w:r>
          </w:p>
        </w:tc>
        <w:tc>
          <w:tcPr>
            <w:tcW w:w="3133" w:type="dxa"/>
            <w:gridSpan w:val="4"/>
            <w:vMerge/>
            <w:vAlign w:val="center"/>
          </w:tcPr>
          <w:p w:rsidR="004E073F" w:rsidRPr="00B66241" w:rsidRDefault="004E073F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7149CE" w:rsidRPr="007149CE" w:rsidTr="00027D98">
        <w:trPr>
          <w:gridAfter w:val="2"/>
          <w:wAfter w:w="49" w:type="dxa"/>
          <w:cantSplit/>
          <w:trHeight w:val="240"/>
        </w:trPr>
        <w:tc>
          <w:tcPr>
            <w:tcW w:w="3780" w:type="dxa"/>
            <w:vAlign w:val="center"/>
          </w:tcPr>
          <w:p w:rsidR="004E073F" w:rsidRPr="00B66241" w:rsidRDefault="005D2658" w:rsidP="004E073F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hyperlink r:id="rId10" w:history="1">
              <w:r w:rsidR="004E073F" w:rsidRPr="00B66241">
                <w:rPr>
                  <w:rStyle w:val="Hyperlink"/>
                  <w:rFonts w:ascii="Trebuchet MS" w:hAnsi="Trebuchet MS"/>
                  <w:snapToGrid w:val="0"/>
                  <w:color w:val="000000"/>
                  <w:sz w:val="16"/>
                  <w:szCs w:val="16"/>
                  <w:u w:val="none"/>
                </w:rPr>
                <w:t>Infertility</w:t>
              </w:r>
            </w:hyperlink>
          </w:p>
        </w:tc>
        <w:tc>
          <w:tcPr>
            <w:tcW w:w="2891" w:type="dxa"/>
            <w:gridSpan w:val="2"/>
          </w:tcPr>
          <w:p w:rsidR="004E073F" w:rsidRPr="00B66241" w:rsidRDefault="00B20C03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80% after deductible </w:t>
            </w:r>
            <w:r w:rsidR="00362DB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33" w:type="dxa"/>
            <w:gridSpan w:val="4"/>
            <w:vMerge/>
          </w:tcPr>
          <w:p w:rsidR="004E073F" w:rsidRPr="00B66241" w:rsidRDefault="004E073F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4E073F" w:rsidRPr="007149CE" w:rsidTr="00027D98">
        <w:trPr>
          <w:gridAfter w:val="2"/>
          <w:wAfter w:w="49" w:type="dxa"/>
          <w:cantSplit/>
          <w:trHeight w:val="240"/>
        </w:trPr>
        <w:tc>
          <w:tcPr>
            <w:tcW w:w="9804" w:type="dxa"/>
            <w:gridSpan w:val="7"/>
            <w:vAlign w:val="center"/>
          </w:tcPr>
          <w:p w:rsidR="004E073F" w:rsidRPr="00B66241" w:rsidRDefault="004E073F" w:rsidP="00AB7F6D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 xml:space="preserve">Infertility </w:t>
            </w:r>
            <w:r w:rsidR="00AB7F6D">
              <w:rPr>
                <w:rFonts w:ascii="Trebuchet MS" w:hAnsi="Trebuchet MS"/>
                <w:snapToGrid w:val="0"/>
                <w:sz w:val="16"/>
                <w:szCs w:val="16"/>
              </w:rPr>
              <w:t>l</w:t>
            </w: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 xml:space="preserve">ifetime </w:t>
            </w:r>
            <w:r w:rsidR="00AB7F6D">
              <w:rPr>
                <w:rFonts w:ascii="Trebuchet MS" w:hAnsi="Trebuchet MS"/>
                <w:snapToGrid w:val="0"/>
                <w:sz w:val="16"/>
                <w:szCs w:val="16"/>
              </w:rPr>
              <w:t>l</w:t>
            </w: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 xml:space="preserve">imits:  </w:t>
            </w:r>
            <w:r w:rsidR="00AB7F6D">
              <w:rPr>
                <w:rFonts w:ascii="Trebuchet MS" w:hAnsi="Trebuchet MS"/>
                <w:snapToGrid w:val="0"/>
                <w:sz w:val="16"/>
                <w:szCs w:val="16"/>
              </w:rPr>
              <w:t>c</w:t>
            </w: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 xml:space="preserve">ontact Insurance Administrator </w:t>
            </w:r>
            <w:r w:rsidR="00B66241">
              <w:rPr>
                <w:rFonts w:ascii="Trebuchet MS" w:hAnsi="Trebuchet MS"/>
                <w:snapToGrid w:val="0"/>
                <w:sz w:val="16"/>
                <w:szCs w:val="16"/>
              </w:rPr>
              <w:t xml:space="preserve">for details </w:t>
            </w:r>
          </w:p>
        </w:tc>
      </w:tr>
      <w:tr w:rsidR="009B6146" w:rsidRPr="007149CE" w:rsidTr="00027D98">
        <w:trPr>
          <w:gridAfter w:val="2"/>
          <w:wAfter w:w="49" w:type="dxa"/>
          <w:cantSplit/>
          <w:trHeight w:val="240"/>
        </w:trPr>
        <w:tc>
          <w:tcPr>
            <w:tcW w:w="9804" w:type="dxa"/>
            <w:gridSpan w:val="7"/>
            <w:shd w:val="pct12" w:color="000000" w:fill="FFFFFF"/>
          </w:tcPr>
          <w:p w:rsidR="009B6146" w:rsidRPr="007149CE" w:rsidRDefault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Mental Health and Substance Abuse</w:t>
            </w:r>
          </w:p>
        </w:tc>
      </w:tr>
      <w:tr w:rsidR="007149CE" w:rsidRPr="007149CE" w:rsidTr="00027D98">
        <w:trPr>
          <w:gridAfter w:val="2"/>
          <w:wAfter w:w="49" w:type="dxa"/>
          <w:cantSplit/>
          <w:trHeight w:val="480"/>
        </w:trPr>
        <w:tc>
          <w:tcPr>
            <w:tcW w:w="3780" w:type="dxa"/>
            <w:vAlign w:val="center"/>
          </w:tcPr>
          <w:p w:rsidR="006D7F6E" w:rsidRPr="00B66241" w:rsidRDefault="006D7F6E" w:rsidP="006D7F6E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Inpatient hospitalization</w:t>
            </w:r>
            <w:r w:rsidR="007C76A6" w:rsidRPr="00B66241">
              <w:rPr>
                <w:rFonts w:ascii="Trebuchet MS" w:hAnsi="Trebuchet MS"/>
                <w:snapToGrid w:val="0"/>
                <w:sz w:val="16"/>
                <w:szCs w:val="16"/>
              </w:rPr>
              <w:t xml:space="preserve"> for mental health or substance abuse</w:t>
            </w:r>
          </w:p>
        </w:tc>
        <w:tc>
          <w:tcPr>
            <w:tcW w:w="2929" w:type="dxa"/>
            <w:gridSpan w:val="3"/>
            <w:vMerge w:val="restart"/>
          </w:tcPr>
          <w:p w:rsidR="003E3328" w:rsidRPr="007149CE" w:rsidRDefault="003E3328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072FCF" w:rsidRDefault="00072FCF" w:rsidP="00AB7F6D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6D7F6E" w:rsidRPr="007149CE" w:rsidRDefault="00B20C03" w:rsidP="00AB7F6D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80% after deductible </w:t>
            </w:r>
            <w:r w:rsidR="00362DB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gridSpan w:val="3"/>
            <w:vMerge w:val="restart"/>
            <w:vAlign w:val="center"/>
          </w:tcPr>
          <w:p w:rsidR="006D7F6E" w:rsidRPr="007149CE" w:rsidRDefault="006D7F6E" w:rsidP="00AB7F6D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80% after deductible</w:t>
            </w:r>
          </w:p>
        </w:tc>
      </w:tr>
      <w:tr w:rsidR="007149CE" w:rsidRPr="007149CE" w:rsidTr="00027D98">
        <w:trPr>
          <w:gridAfter w:val="2"/>
          <w:wAfter w:w="49" w:type="dxa"/>
          <w:cantSplit/>
          <w:trHeight w:val="480"/>
        </w:trPr>
        <w:tc>
          <w:tcPr>
            <w:tcW w:w="3780" w:type="dxa"/>
            <w:vAlign w:val="center"/>
          </w:tcPr>
          <w:p w:rsidR="006D7F6E" w:rsidRPr="00B66241" w:rsidRDefault="006D7F6E" w:rsidP="006D7F6E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Outpatient facility</w:t>
            </w:r>
            <w:r w:rsidR="007C76A6" w:rsidRPr="00B66241">
              <w:rPr>
                <w:rFonts w:ascii="Trebuchet MS" w:hAnsi="Trebuchet MS"/>
                <w:snapToGrid w:val="0"/>
                <w:sz w:val="16"/>
                <w:szCs w:val="16"/>
              </w:rPr>
              <w:t>, including day treatment programs</w:t>
            </w:r>
          </w:p>
        </w:tc>
        <w:tc>
          <w:tcPr>
            <w:tcW w:w="2929" w:type="dxa"/>
            <w:gridSpan w:val="3"/>
            <w:vMerge/>
          </w:tcPr>
          <w:p w:rsidR="006D7F6E" w:rsidRPr="007149CE" w:rsidRDefault="006D7F6E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095" w:type="dxa"/>
            <w:gridSpan w:val="3"/>
            <w:vMerge/>
          </w:tcPr>
          <w:p w:rsidR="006D7F6E" w:rsidRPr="007149CE" w:rsidRDefault="006D7F6E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7149CE" w:rsidRPr="007149CE" w:rsidTr="00027D98">
        <w:trPr>
          <w:gridAfter w:val="2"/>
          <w:wAfter w:w="49" w:type="dxa"/>
          <w:cantSplit/>
          <w:trHeight w:val="240"/>
        </w:trPr>
        <w:tc>
          <w:tcPr>
            <w:tcW w:w="3780" w:type="dxa"/>
            <w:vAlign w:val="center"/>
          </w:tcPr>
          <w:p w:rsidR="006D7F6E" w:rsidRPr="00B66241" w:rsidRDefault="006D7F6E" w:rsidP="006D7F6E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Office visit</w:t>
            </w:r>
            <w:r w:rsidR="004E073F" w:rsidRPr="00B66241">
              <w:rPr>
                <w:rFonts w:ascii="Trebuchet MS" w:hAnsi="Trebuchet MS"/>
                <w:snapToGrid w:val="0"/>
                <w:sz w:val="16"/>
                <w:szCs w:val="16"/>
              </w:rPr>
              <w:t>s</w:t>
            </w:r>
          </w:p>
        </w:tc>
        <w:tc>
          <w:tcPr>
            <w:tcW w:w="2929" w:type="dxa"/>
            <w:gridSpan w:val="3"/>
          </w:tcPr>
          <w:p w:rsidR="006D7F6E" w:rsidRPr="007149CE" w:rsidRDefault="006D7F6E" w:rsidP="00AB7F6D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100% after </w:t>
            </w:r>
            <w:r w:rsidR="00072FCF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$20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co-pay</w:t>
            </w:r>
          </w:p>
        </w:tc>
        <w:tc>
          <w:tcPr>
            <w:tcW w:w="3095" w:type="dxa"/>
            <w:gridSpan w:val="3"/>
            <w:vMerge/>
          </w:tcPr>
          <w:p w:rsidR="006D7F6E" w:rsidRPr="007149CE" w:rsidRDefault="006D7F6E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9B6146" w:rsidRPr="007149CE" w:rsidTr="00027D98">
        <w:trPr>
          <w:gridAfter w:val="2"/>
          <w:wAfter w:w="49" w:type="dxa"/>
          <w:cantSplit/>
          <w:trHeight w:val="240"/>
        </w:trPr>
        <w:tc>
          <w:tcPr>
            <w:tcW w:w="9804" w:type="dxa"/>
            <w:gridSpan w:val="7"/>
            <w:shd w:val="pct12" w:color="000000" w:fill="FFFFFF"/>
          </w:tcPr>
          <w:p w:rsidR="009B6146" w:rsidRPr="007149CE" w:rsidRDefault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Nursing and Home Health Care</w:t>
            </w:r>
            <w:r w:rsidR="004E073F"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 xml:space="preserve"> </w:t>
            </w:r>
          </w:p>
        </w:tc>
      </w:tr>
      <w:tr w:rsidR="00837097" w:rsidRPr="007149CE" w:rsidTr="00027D98">
        <w:trPr>
          <w:gridAfter w:val="2"/>
          <w:wAfter w:w="49" w:type="dxa"/>
          <w:cantSplit/>
          <w:trHeight w:val="720"/>
        </w:trPr>
        <w:tc>
          <w:tcPr>
            <w:tcW w:w="3780" w:type="dxa"/>
          </w:tcPr>
          <w:p w:rsidR="00837097" w:rsidRPr="00DA6747" w:rsidRDefault="00837097" w:rsidP="00DA6747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i/>
                <w:snapToGrid w:val="0"/>
                <w:sz w:val="16"/>
                <w:szCs w:val="16"/>
              </w:rPr>
            </w:pPr>
            <w:r w:rsidRPr="00DA6747">
              <w:rPr>
                <w:rFonts w:ascii="Trebuchet MS" w:hAnsi="Trebuchet MS"/>
                <w:snapToGrid w:val="0"/>
                <w:sz w:val="16"/>
                <w:szCs w:val="16"/>
              </w:rPr>
              <w:t xml:space="preserve">Skilled nursing facility (e.g., rehabilitation center) </w:t>
            </w:r>
            <w:r w:rsidRPr="00DA6747">
              <w:rPr>
                <w:rFonts w:ascii="Trebuchet MS" w:hAnsi="Trebuchet MS"/>
                <w:i/>
                <w:snapToGrid w:val="0"/>
                <w:sz w:val="16"/>
                <w:szCs w:val="16"/>
              </w:rPr>
              <w:t>maximum 60 days per condition per plan  year</w:t>
            </w:r>
          </w:p>
        </w:tc>
        <w:tc>
          <w:tcPr>
            <w:tcW w:w="6024" w:type="dxa"/>
            <w:gridSpan w:val="6"/>
            <w:vMerge w:val="restart"/>
            <w:vAlign w:val="center"/>
          </w:tcPr>
          <w:p w:rsidR="00837097" w:rsidRPr="00DA6747" w:rsidRDefault="00837097" w:rsidP="00F92F6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8</w:t>
            </w:r>
            <w:r w:rsidRPr="00DA6747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0% after deductible</w:t>
            </w:r>
          </w:p>
        </w:tc>
      </w:tr>
      <w:tr w:rsidR="00837097" w:rsidRPr="007149CE" w:rsidTr="00027D98">
        <w:trPr>
          <w:gridAfter w:val="2"/>
          <w:wAfter w:w="49" w:type="dxa"/>
          <w:cantSplit/>
          <w:trHeight w:val="495"/>
        </w:trPr>
        <w:tc>
          <w:tcPr>
            <w:tcW w:w="3780" w:type="dxa"/>
            <w:vAlign w:val="center"/>
          </w:tcPr>
          <w:p w:rsidR="00837097" w:rsidRPr="004130A9" w:rsidRDefault="00837097" w:rsidP="00DA6747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4130A9">
              <w:rPr>
                <w:rFonts w:ascii="Trebuchet MS" w:hAnsi="Trebuchet MS"/>
                <w:snapToGrid w:val="0"/>
                <w:sz w:val="16"/>
                <w:szCs w:val="16"/>
              </w:rPr>
              <w:t xml:space="preserve">Convalescent Care </w:t>
            </w:r>
            <w:r w:rsidRPr="004130A9">
              <w:rPr>
                <w:rFonts w:ascii="Trebuchet MS" w:hAnsi="Trebuchet MS"/>
                <w:i/>
                <w:snapToGrid w:val="0"/>
                <w:sz w:val="16"/>
                <w:szCs w:val="16"/>
              </w:rPr>
              <w:t>Maximum 60 days per condition per plan year</w:t>
            </w:r>
          </w:p>
        </w:tc>
        <w:tc>
          <w:tcPr>
            <w:tcW w:w="6024" w:type="dxa"/>
            <w:gridSpan w:val="6"/>
            <w:vMerge/>
            <w:vAlign w:val="center"/>
          </w:tcPr>
          <w:p w:rsidR="00837097" w:rsidRPr="00DA6747" w:rsidRDefault="00837097" w:rsidP="00F92F6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837097" w:rsidRPr="007149CE" w:rsidTr="00027D98">
        <w:trPr>
          <w:gridAfter w:val="2"/>
          <w:wAfter w:w="49" w:type="dxa"/>
          <w:cantSplit/>
          <w:trHeight w:val="480"/>
        </w:trPr>
        <w:tc>
          <w:tcPr>
            <w:tcW w:w="3780" w:type="dxa"/>
            <w:vAlign w:val="center"/>
          </w:tcPr>
          <w:p w:rsidR="00837097" w:rsidRPr="00DA6747" w:rsidRDefault="00837097" w:rsidP="00DA6747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i/>
                <w:snapToGrid w:val="0"/>
                <w:sz w:val="16"/>
                <w:szCs w:val="16"/>
              </w:rPr>
            </w:pPr>
            <w:r w:rsidRPr="00DA6747">
              <w:rPr>
                <w:rFonts w:ascii="Trebuchet MS" w:hAnsi="Trebuchet MS"/>
                <w:snapToGrid w:val="0"/>
                <w:sz w:val="16"/>
                <w:szCs w:val="16"/>
              </w:rPr>
              <w:lastRenderedPageBreak/>
              <w:t xml:space="preserve">Visiting nurse: </w:t>
            </w:r>
            <w:r w:rsidRPr="00DA6747">
              <w:rPr>
                <w:rFonts w:ascii="Trebuchet MS" w:hAnsi="Trebuchet MS"/>
                <w:bCs/>
                <w:i/>
                <w:snapToGrid w:val="0"/>
                <w:color w:val="000000"/>
                <w:sz w:val="16"/>
                <w:szCs w:val="16"/>
              </w:rPr>
              <w:t>maximum 120 days per condition per plan year</w:t>
            </w:r>
          </w:p>
        </w:tc>
        <w:tc>
          <w:tcPr>
            <w:tcW w:w="6024" w:type="dxa"/>
            <w:gridSpan w:val="6"/>
            <w:vMerge/>
            <w:vAlign w:val="center"/>
          </w:tcPr>
          <w:p w:rsidR="00837097" w:rsidRPr="00DA6747" w:rsidRDefault="00837097" w:rsidP="00F92F6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837097" w:rsidRPr="007149CE" w:rsidTr="00027D98">
        <w:trPr>
          <w:gridAfter w:val="2"/>
          <w:wAfter w:w="49" w:type="dxa"/>
          <w:cantSplit/>
          <w:trHeight w:val="588"/>
        </w:trPr>
        <w:tc>
          <w:tcPr>
            <w:tcW w:w="3780" w:type="dxa"/>
            <w:vAlign w:val="center"/>
          </w:tcPr>
          <w:p w:rsidR="00837097" w:rsidRPr="00DA6747" w:rsidRDefault="00837097" w:rsidP="006E3E35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i/>
                <w:snapToGrid w:val="0"/>
                <w:sz w:val="16"/>
                <w:szCs w:val="16"/>
              </w:rPr>
            </w:pPr>
            <w:r w:rsidRPr="00DA6747">
              <w:rPr>
                <w:rFonts w:ascii="Trebuchet MS" w:hAnsi="Trebuchet MS"/>
                <w:snapToGrid w:val="0"/>
                <w:sz w:val="16"/>
                <w:szCs w:val="16"/>
              </w:rPr>
              <w:t xml:space="preserve">Private duty nursing: </w:t>
            </w:r>
            <w:r w:rsidRPr="00DA6747">
              <w:rPr>
                <w:rFonts w:ascii="Trebuchet MS" w:hAnsi="Trebuchet MS"/>
                <w:i/>
                <w:snapToGrid w:val="0"/>
                <w:sz w:val="16"/>
                <w:szCs w:val="16"/>
              </w:rPr>
              <w:t xml:space="preserve">contact Insurance Administrator for authorization </w:t>
            </w:r>
          </w:p>
          <w:p w:rsidR="00837097" w:rsidRPr="00DA6747" w:rsidRDefault="00837097" w:rsidP="006E3E35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i/>
                <w:snapToGrid w:val="0"/>
                <w:sz w:val="16"/>
                <w:szCs w:val="16"/>
              </w:rPr>
            </w:pPr>
          </w:p>
          <w:p w:rsidR="00837097" w:rsidRPr="00DA6747" w:rsidRDefault="00837097" w:rsidP="006E3E35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6024" w:type="dxa"/>
            <w:gridSpan w:val="6"/>
            <w:vMerge/>
          </w:tcPr>
          <w:p w:rsidR="00837097" w:rsidRPr="00DA6747" w:rsidRDefault="00837097" w:rsidP="00F92F6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837097" w:rsidRPr="007149CE" w:rsidTr="00027D98">
        <w:trPr>
          <w:gridAfter w:val="2"/>
          <w:wAfter w:w="49" w:type="dxa"/>
          <w:cantSplit/>
          <w:trHeight w:val="480"/>
        </w:trPr>
        <w:tc>
          <w:tcPr>
            <w:tcW w:w="9804" w:type="dxa"/>
            <w:gridSpan w:val="7"/>
            <w:shd w:val="pct12" w:color="000000" w:fill="FFFFFF"/>
          </w:tcPr>
          <w:p w:rsidR="00837097" w:rsidRDefault="00837097" w:rsidP="00AB7F6D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</w:pPr>
          </w:p>
          <w:p w:rsidR="00837097" w:rsidRPr="007149CE" w:rsidRDefault="00837097" w:rsidP="00AB7F6D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Short</w:t>
            </w:r>
            <w:r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-</w:t>
            </w: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Term Rehabilitation</w:t>
            </w:r>
          </w:p>
        </w:tc>
      </w:tr>
      <w:tr w:rsidR="00837097" w:rsidRPr="007149CE" w:rsidTr="00027D98">
        <w:trPr>
          <w:gridAfter w:val="2"/>
          <w:wAfter w:w="49" w:type="dxa"/>
          <w:cantSplit/>
          <w:trHeight w:val="960"/>
        </w:trPr>
        <w:tc>
          <w:tcPr>
            <w:tcW w:w="3780" w:type="dxa"/>
            <w:shd w:val="clear" w:color="000000" w:fill="FFFFFF"/>
          </w:tcPr>
          <w:p w:rsidR="00837097" w:rsidRPr="007149CE" w:rsidRDefault="00837097" w:rsidP="00AB7F6D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i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Physical, occupational or speech therapy</w:t>
            </w:r>
            <w:r>
              <w:rPr>
                <w:rFonts w:ascii="Trebuchet MS" w:hAnsi="Trebuchet MS"/>
                <w:snapToGrid w:val="0"/>
                <w:sz w:val="16"/>
                <w:szCs w:val="16"/>
              </w:rPr>
              <w:t xml:space="preserve">:  </w:t>
            </w:r>
            <w:r>
              <w:rPr>
                <w:rFonts w:ascii="Trebuchet MS" w:hAnsi="Trebuchet MS"/>
                <w:i/>
                <w:snapToGrid w:val="0"/>
                <w:sz w:val="16"/>
                <w:szCs w:val="16"/>
              </w:rPr>
              <w:t>r</w:t>
            </w:r>
            <w:r w:rsidRPr="007149CE">
              <w:rPr>
                <w:rFonts w:ascii="Trebuchet MS" w:hAnsi="Trebuchet MS"/>
                <w:i/>
                <w:snapToGrid w:val="0"/>
                <w:sz w:val="16"/>
                <w:szCs w:val="16"/>
              </w:rPr>
              <w:t>estorative service after illness or accident</w:t>
            </w:r>
            <w:r>
              <w:rPr>
                <w:rFonts w:ascii="Trebuchet MS" w:hAnsi="Trebuchet MS"/>
                <w:i/>
                <w:snapToGrid w:val="0"/>
                <w:sz w:val="16"/>
                <w:szCs w:val="16"/>
              </w:rPr>
              <w:t>. 60 visits PT, OT, ST combined per condition per plan year. Visits over 60 review for medical necessity.</w:t>
            </w:r>
          </w:p>
        </w:tc>
        <w:tc>
          <w:tcPr>
            <w:tcW w:w="2929" w:type="dxa"/>
            <w:gridSpan w:val="3"/>
            <w:vMerge w:val="restart"/>
            <w:shd w:val="clear" w:color="000000" w:fill="FFFFFF"/>
            <w:vAlign w:val="center"/>
          </w:tcPr>
          <w:p w:rsidR="00837097" w:rsidRPr="007149CE" w:rsidRDefault="00837097" w:rsidP="0014245B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  <w:t xml:space="preserve">100% after </w:t>
            </w:r>
            <w:r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  <w:t>$20</w:t>
            </w:r>
            <w:r w:rsidRPr="007149CE"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  <w:t xml:space="preserve"> office co-pay</w:t>
            </w:r>
          </w:p>
        </w:tc>
        <w:tc>
          <w:tcPr>
            <w:tcW w:w="3095" w:type="dxa"/>
            <w:gridSpan w:val="3"/>
            <w:vMerge w:val="restart"/>
            <w:shd w:val="clear" w:color="000000" w:fill="FFFFFF"/>
            <w:vAlign w:val="center"/>
          </w:tcPr>
          <w:p w:rsidR="00837097" w:rsidRDefault="00837097" w:rsidP="004B3D50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  <w:p w:rsidR="00837097" w:rsidRPr="007149CE" w:rsidRDefault="00837097" w:rsidP="004B3D50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  <w:t>80% after deductible</w:t>
            </w:r>
          </w:p>
          <w:p w:rsidR="00837097" w:rsidRPr="007149CE" w:rsidRDefault="00837097" w:rsidP="0014245B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837097" w:rsidRPr="007149CE" w:rsidTr="00027D98">
        <w:trPr>
          <w:gridAfter w:val="2"/>
          <w:wAfter w:w="49" w:type="dxa"/>
          <w:cantSplit/>
          <w:trHeight w:val="960"/>
        </w:trPr>
        <w:tc>
          <w:tcPr>
            <w:tcW w:w="3780" w:type="dxa"/>
            <w:shd w:val="clear" w:color="000000" w:fill="FFFFFF"/>
          </w:tcPr>
          <w:p w:rsidR="00837097" w:rsidRPr="007149CE" w:rsidRDefault="00837097" w:rsidP="00A4650C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i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Physical, occupational or speech therapy</w:t>
            </w:r>
            <w:r>
              <w:rPr>
                <w:rFonts w:ascii="Trebuchet MS" w:hAnsi="Trebuchet MS"/>
                <w:snapToGrid w:val="0"/>
                <w:sz w:val="16"/>
                <w:szCs w:val="16"/>
              </w:rPr>
              <w:t xml:space="preserve">:  </w:t>
            </w:r>
            <w:r>
              <w:rPr>
                <w:rFonts w:ascii="Trebuchet MS" w:hAnsi="Trebuchet MS"/>
                <w:i/>
                <w:snapToGrid w:val="0"/>
                <w:sz w:val="16"/>
                <w:szCs w:val="16"/>
              </w:rPr>
              <w:t>f</w:t>
            </w:r>
            <w:r w:rsidRPr="007149CE">
              <w:rPr>
                <w:rFonts w:ascii="Trebuchet MS" w:hAnsi="Trebuchet MS"/>
                <w:i/>
                <w:snapToGrid w:val="0"/>
                <w:sz w:val="16"/>
                <w:szCs w:val="16"/>
              </w:rPr>
              <w:t xml:space="preserve">or diagnosis of </w:t>
            </w:r>
            <w:r>
              <w:rPr>
                <w:rFonts w:ascii="Trebuchet MS" w:hAnsi="Trebuchet MS"/>
                <w:i/>
                <w:snapToGrid w:val="0"/>
                <w:sz w:val="16"/>
                <w:szCs w:val="16"/>
              </w:rPr>
              <w:t>d</w:t>
            </w:r>
            <w:r w:rsidRPr="007149CE">
              <w:rPr>
                <w:rFonts w:ascii="Trebuchet MS" w:hAnsi="Trebuchet MS"/>
                <w:i/>
                <w:snapToGrid w:val="0"/>
                <w:sz w:val="16"/>
                <w:szCs w:val="16"/>
              </w:rPr>
              <w:t xml:space="preserve">evelopment </w:t>
            </w:r>
            <w:r>
              <w:rPr>
                <w:rFonts w:ascii="Trebuchet MS" w:hAnsi="Trebuchet MS"/>
                <w:i/>
                <w:snapToGrid w:val="0"/>
                <w:sz w:val="16"/>
                <w:szCs w:val="16"/>
              </w:rPr>
              <w:t>d</w:t>
            </w:r>
            <w:r w:rsidRPr="007149CE">
              <w:rPr>
                <w:rFonts w:ascii="Trebuchet MS" w:hAnsi="Trebuchet MS"/>
                <w:i/>
                <w:snapToGrid w:val="0"/>
                <w:sz w:val="16"/>
                <w:szCs w:val="16"/>
              </w:rPr>
              <w:t xml:space="preserve">elay a maximum 60 visits PT, OT, ST combined, per </w:t>
            </w:r>
            <w:r>
              <w:rPr>
                <w:rFonts w:ascii="Trebuchet MS" w:hAnsi="Trebuchet MS"/>
                <w:i/>
                <w:snapToGrid w:val="0"/>
                <w:sz w:val="16"/>
                <w:szCs w:val="16"/>
              </w:rPr>
              <w:t xml:space="preserve">plan </w:t>
            </w:r>
            <w:r w:rsidRPr="007149CE">
              <w:rPr>
                <w:rFonts w:ascii="Trebuchet MS" w:hAnsi="Trebuchet MS"/>
                <w:i/>
                <w:snapToGrid w:val="0"/>
                <w:sz w:val="16"/>
                <w:szCs w:val="16"/>
              </w:rPr>
              <w:t>year, per child</w:t>
            </w:r>
          </w:p>
        </w:tc>
        <w:tc>
          <w:tcPr>
            <w:tcW w:w="2929" w:type="dxa"/>
            <w:gridSpan w:val="3"/>
            <w:vMerge/>
            <w:shd w:val="clear" w:color="000000" w:fill="FFFFFF"/>
            <w:vAlign w:val="center"/>
          </w:tcPr>
          <w:p w:rsidR="00837097" w:rsidRPr="007149CE" w:rsidRDefault="00837097" w:rsidP="004B3D50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095" w:type="dxa"/>
            <w:gridSpan w:val="3"/>
            <w:vMerge/>
            <w:shd w:val="clear" w:color="000000" w:fill="FFFFFF"/>
            <w:vAlign w:val="center"/>
          </w:tcPr>
          <w:p w:rsidR="00837097" w:rsidRPr="007149CE" w:rsidRDefault="00837097" w:rsidP="004B3D50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837097" w:rsidRPr="007149CE" w:rsidTr="00027D98">
        <w:trPr>
          <w:gridAfter w:val="2"/>
          <w:wAfter w:w="49" w:type="dxa"/>
          <w:cantSplit/>
          <w:trHeight w:val="240"/>
        </w:trPr>
        <w:tc>
          <w:tcPr>
            <w:tcW w:w="3780" w:type="dxa"/>
            <w:shd w:val="clear" w:color="000000" w:fill="FFFFFF"/>
          </w:tcPr>
          <w:p w:rsidR="00837097" w:rsidRPr="007149CE" w:rsidRDefault="00837097" w:rsidP="00A4650C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Chiropractor (30 visit limit per </w:t>
            </w:r>
            <w:r>
              <w:rPr>
                <w:rFonts w:ascii="Trebuchet MS" w:hAnsi="Trebuchet MS"/>
                <w:snapToGrid w:val="0"/>
                <w:sz w:val="16"/>
                <w:szCs w:val="16"/>
              </w:rPr>
              <w:t xml:space="preserve">plan </w:t>
            </w: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year)</w:t>
            </w:r>
          </w:p>
        </w:tc>
        <w:tc>
          <w:tcPr>
            <w:tcW w:w="2929" w:type="dxa"/>
            <w:gridSpan w:val="3"/>
            <w:vMerge/>
            <w:shd w:val="clear" w:color="000000" w:fill="FFFFFF"/>
          </w:tcPr>
          <w:p w:rsidR="00837097" w:rsidRPr="007149CE" w:rsidRDefault="00837097" w:rsidP="004B3D50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095" w:type="dxa"/>
            <w:gridSpan w:val="3"/>
            <w:vMerge/>
            <w:shd w:val="clear" w:color="000000" w:fill="FFFFFF"/>
          </w:tcPr>
          <w:p w:rsidR="00837097" w:rsidRPr="007149CE" w:rsidRDefault="00837097" w:rsidP="004B3D50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837097" w:rsidRPr="007149CE" w:rsidTr="00027D98">
        <w:trPr>
          <w:gridAfter w:val="2"/>
          <w:wAfter w:w="49" w:type="dxa"/>
          <w:trHeight w:val="240"/>
        </w:trPr>
        <w:tc>
          <w:tcPr>
            <w:tcW w:w="3780" w:type="dxa"/>
            <w:tcBorders>
              <w:bottom w:val="single" w:sz="6" w:space="0" w:color="000000"/>
            </w:tcBorders>
            <w:shd w:val="clear" w:color="000000" w:fill="FFFFFF"/>
            <w:vAlign w:val="center"/>
          </w:tcPr>
          <w:p w:rsidR="00837097" w:rsidRPr="007149CE" w:rsidRDefault="00837097" w:rsidP="00A4650C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Acupuncture (30 visit limit per </w:t>
            </w:r>
            <w:r>
              <w:rPr>
                <w:rFonts w:ascii="Trebuchet MS" w:hAnsi="Trebuchet MS"/>
                <w:snapToGrid w:val="0"/>
                <w:sz w:val="16"/>
                <w:szCs w:val="16"/>
              </w:rPr>
              <w:t xml:space="preserve">plan </w:t>
            </w: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year)  </w:t>
            </w:r>
          </w:p>
        </w:tc>
        <w:tc>
          <w:tcPr>
            <w:tcW w:w="2929" w:type="dxa"/>
            <w:gridSpan w:val="3"/>
            <w:vMerge/>
            <w:tcBorders>
              <w:bottom w:val="single" w:sz="6" w:space="0" w:color="000000"/>
            </w:tcBorders>
            <w:shd w:val="clear" w:color="000000" w:fill="FFFFFF"/>
            <w:vAlign w:val="center"/>
          </w:tcPr>
          <w:p w:rsidR="00837097" w:rsidRPr="007149CE" w:rsidRDefault="00837097" w:rsidP="004B3D50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095" w:type="dxa"/>
            <w:gridSpan w:val="3"/>
            <w:vMerge/>
            <w:tcBorders>
              <w:bottom w:val="single" w:sz="6" w:space="0" w:color="000000"/>
            </w:tcBorders>
            <w:shd w:val="clear" w:color="000000" w:fill="FFFFFF"/>
            <w:vAlign w:val="center"/>
          </w:tcPr>
          <w:p w:rsidR="00837097" w:rsidRPr="007149CE" w:rsidRDefault="00837097" w:rsidP="004B3D50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837097" w:rsidRPr="007149CE" w:rsidTr="00027D98">
        <w:trPr>
          <w:gridAfter w:val="2"/>
          <w:wAfter w:w="49" w:type="dxa"/>
          <w:cantSplit/>
          <w:trHeight w:val="240"/>
        </w:trPr>
        <w:tc>
          <w:tcPr>
            <w:tcW w:w="9804" w:type="dxa"/>
            <w:gridSpan w:val="7"/>
            <w:shd w:val="pct12" w:color="000000" w:fill="FFFFFF"/>
          </w:tcPr>
          <w:p w:rsidR="00837097" w:rsidRPr="007149CE" w:rsidRDefault="00837097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Durable Medical Equipment</w:t>
            </w:r>
          </w:p>
        </w:tc>
      </w:tr>
      <w:tr w:rsidR="00837097" w:rsidRPr="007149CE" w:rsidTr="00027D98">
        <w:trPr>
          <w:gridAfter w:val="2"/>
          <w:wAfter w:w="49" w:type="dxa"/>
          <w:trHeight w:val="720"/>
        </w:trPr>
        <w:tc>
          <w:tcPr>
            <w:tcW w:w="3780" w:type="dxa"/>
            <w:shd w:val="clear" w:color="000000" w:fill="FFFFFF"/>
          </w:tcPr>
          <w:p w:rsidR="00837097" w:rsidRDefault="005D2658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hyperlink r:id="rId11" w:history="1">
              <w:r w:rsidR="00837097" w:rsidRPr="00B66241">
                <w:rPr>
                  <w:rStyle w:val="Hyperlink"/>
                  <w:rFonts w:ascii="Trebuchet MS" w:hAnsi="Trebuchet MS"/>
                  <w:snapToGrid w:val="0"/>
                  <w:color w:val="000000"/>
                  <w:sz w:val="16"/>
                  <w:szCs w:val="16"/>
                  <w:u w:val="none"/>
                </w:rPr>
                <w:t xml:space="preserve">Durable </w:t>
              </w:r>
              <w:r w:rsidR="00837097">
                <w:rPr>
                  <w:rStyle w:val="Hyperlink"/>
                  <w:rFonts w:ascii="Trebuchet MS" w:hAnsi="Trebuchet MS"/>
                  <w:snapToGrid w:val="0"/>
                  <w:color w:val="000000"/>
                  <w:sz w:val="16"/>
                  <w:szCs w:val="16"/>
                  <w:u w:val="none"/>
                </w:rPr>
                <w:t>m</w:t>
              </w:r>
              <w:r w:rsidR="00837097" w:rsidRPr="00B66241">
                <w:rPr>
                  <w:rStyle w:val="Hyperlink"/>
                  <w:rFonts w:ascii="Trebuchet MS" w:hAnsi="Trebuchet MS"/>
                  <w:snapToGrid w:val="0"/>
                  <w:color w:val="000000"/>
                  <w:sz w:val="16"/>
                  <w:szCs w:val="16"/>
                  <w:u w:val="none"/>
                </w:rPr>
                <w:t xml:space="preserve">edical </w:t>
              </w:r>
              <w:r w:rsidR="00837097">
                <w:rPr>
                  <w:rStyle w:val="Hyperlink"/>
                  <w:rFonts w:ascii="Trebuchet MS" w:hAnsi="Trebuchet MS"/>
                  <w:snapToGrid w:val="0"/>
                  <w:color w:val="000000"/>
                  <w:sz w:val="16"/>
                  <w:szCs w:val="16"/>
                  <w:u w:val="none"/>
                </w:rPr>
                <w:t>e</w:t>
              </w:r>
              <w:r w:rsidR="00837097" w:rsidRPr="00B66241">
                <w:rPr>
                  <w:rStyle w:val="Hyperlink"/>
                  <w:rFonts w:ascii="Trebuchet MS" w:hAnsi="Trebuchet MS"/>
                  <w:snapToGrid w:val="0"/>
                  <w:color w:val="000000"/>
                  <w:sz w:val="16"/>
                  <w:szCs w:val="16"/>
                  <w:u w:val="none"/>
                </w:rPr>
                <w:t>quipment</w:t>
              </w:r>
            </w:hyperlink>
            <w:r w:rsidR="00837097" w:rsidRP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:</w:t>
            </w:r>
            <w:r w:rsidR="00837097">
              <w:rPr>
                <w:rFonts w:ascii="Trebuchet MS" w:hAnsi="Trebuchet MS"/>
                <w:snapToGrid w:val="0"/>
                <w:sz w:val="16"/>
                <w:szCs w:val="16"/>
              </w:rPr>
              <w:t xml:space="preserve">  R</w:t>
            </w:r>
            <w:r w:rsidR="00837097" w:rsidRPr="007149CE">
              <w:rPr>
                <w:rFonts w:ascii="Trebuchet MS" w:hAnsi="Trebuchet MS"/>
                <w:snapToGrid w:val="0"/>
                <w:sz w:val="16"/>
                <w:szCs w:val="16"/>
              </w:rPr>
              <w:t>ental</w:t>
            </w:r>
          </w:p>
          <w:p w:rsidR="00837097" w:rsidRPr="00B66241" w:rsidRDefault="00837097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i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i/>
                <w:snapToGrid w:val="0"/>
                <w:sz w:val="16"/>
                <w:szCs w:val="16"/>
              </w:rPr>
              <w:t>Purchases only if approved by Insurance Administrator</w:t>
            </w:r>
          </w:p>
        </w:tc>
        <w:tc>
          <w:tcPr>
            <w:tcW w:w="6024" w:type="dxa"/>
            <w:gridSpan w:val="6"/>
            <w:shd w:val="clear" w:color="000000" w:fill="FFFFFF"/>
            <w:vAlign w:val="center"/>
          </w:tcPr>
          <w:p w:rsidR="00837097" w:rsidRPr="007149CE" w:rsidRDefault="00837097" w:rsidP="003E2598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80% after deductible</w:t>
            </w:r>
          </w:p>
        </w:tc>
      </w:tr>
      <w:tr w:rsidR="000867C1" w:rsidRPr="007149CE" w:rsidTr="00B207B4">
        <w:trPr>
          <w:cantSplit/>
          <w:trHeight w:val="240"/>
        </w:trPr>
        <w:tc>
          <w:tcPr>
            <w:tcW w:w="9853" w:type="dxa"/>
            <w:gridSpan w:val="9"/>
            <w:shd w:val="pct12" w:color="000000" w:fill="FFFFFF"/>
          </w:tcPr>
          <w:p w:rsidR="000867C1" w:rsidRPr="007149CE" w:rsidRDefault="000867C1" w:rsidP="0075080E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Vision Care</w:t>
            </w:r>
          </w:p>
        </w:tc>
      </w:tr>
      <w:tr w:rsidR="000867C1" w:rsidRPr="007149CE" w:rsidTr="00027D98">
        <w:trPr>
          <w:trHeight w:val="480"/>
        </w:trPr>
        <w:tc>
          <w:tcPr>
            <w:tcW w:w="3828" w:type="dxa"/>
            <w:gridSpan w:val="2"/>
            <w:vAlign w:val="center"/>
          </w:tcPr>
          <w:p w:rsidR="000867C1" w:rsidRPr="007149CE" w:rsidRDefault="000867C1" w:rsidP="0075080E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Routine eye exams, one per </w:t>
            </w:r>
            <w:r>
              <w:rPr>
                <w:rFonts w:ascii="Trebuchet MS" w:hAnsi="Trebuchet MS"/>
                <w:snapToGrid w:val="0"/>
                <w:sz w:val="16"/>
                <w:szCs w:val="16"/>
              </w:rPr>
              <w:t xml:space="preserve">plan </w:t>
            </w: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 year, including refraction. </w:t>
            </w:r>
            <w:r>
              <w:rPr>
                <w:rFonts w:ascii="Trebuchet MS" w:hAnsi="Trebuchet MS"/>
                <w:snapToGrid w:val="0"/>
                <w:sz w:val="16"/>
                <w:szCs w:val="16"/>
              </w:rPr>
              <w:t xml:space="preserve"> </w:t>
            </w:r>
            <w:r w:rsidRPr="00BA7098">
              <w:rPr>
                <w:rFonts w:ascii="Trebuchet MS" w:hAnsi="Trebuchet MS"/>
                <w:i/>
                <w:snapToGrid w:val="0"/>
                <w:sz w:val="16"/>
                <w:szCs w:val="16"/>
              </w:rPr>
              <w:t>No PCP referral required</w:t>
            </w:r>
          </w:p>
        </w:tc>
        <w:tc>
          <w:tcPr>
            <w:tcW w:w="2929" w:type="dxa"/>
            <w:gridSpan w:val="3"/>
            <w:vAlign w:val="center"/>
          </w:tcPr>
          <w:p w:rsidR="000867C1" w:rsidRPr="007149CE" w:rsidRDefault="000867C1" w:rsidP="0075080E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$</w:t>
            </w: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20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co-pay</w:t>
            </w:r>
          </w:p>
        </w:tc>
        <w:tc>
          <w:tcPr>
            <w:tcW w:w="3096" w:type="dxa"/>
            <w:gridSpan w:val="4"/>
            <w:vAlign w:val="center"/>
          </w:tcPr>
          <w:p w:rsidR="000867C1" w:rsidRPr="007149CE" w:rsidRDefault="005F31B6" w:rsidP="0075080E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80% after deductible</w:t>
            </w:r>
          </w:p>
        </w:tc>
      </w:tr>
      <w:tr w:rsidR="00170B3E" w:rsidRPr="007149CE" w:rsidDel="009F4205" w:rsidTr="009B5369">
        <w:trPr>
          <w:trHeight w:val="318"/>
        </w:trPr>
        <w:tc>
          <w:tcPr>
            <w:tcW w:w="3828" w:type="dxa"/>
            <w:gridSpan w:val="2"/>
            <w:vAlign w:val="bottom"/>
          </w:tcPr>
          <w:p w:rsidR="00170B3E" w:rsidRPr="007149CE" w:rsidRDefault="00170B3E" w:rsidP="00027D98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Frames, lenses, contacts</w:t>
            </w:r>
          </w:p>
        </w:tc>
        <w:tc>
          <w:tcPr>
            <w:tcW w:w="6025" w:type="dxa"/>
            <w:gridSpan w:val="7"/>
            <w:vAlign w:val="bottom"/>
          </w:tcPr>
          <w:p w:rsidR="00170B3E" w:rsidRDefault="00170B3E" w:rsidP="00170B3E">
            <w:pPr>
              <w:keepNext/>
              <w:keepLines/>
              <w:spacing w:line="240" w:lineRule="atLeast"/>
              <w:ind w:left="40" w:right="40"/>
              <w:jc w:val="center"/>
            </w:pPr>
            <w:r w:rsidRPr="006D24CD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Up to $200 reimbursements per person, every two plan years</w:t>
            </w:r>
          </w:p>
        </w:tc>
      </w:tr>
      <w:tr w:rsidR="00837097" w:rsidRPr="007149CE" w:rsidTr="00027D98">
        <w:trPr>
          <w:gridAfter w:val="2"/>
          <w:wAfter w:w="49" w:type="dxa"/>
          <w:cantSplit/>
          <w:trHeight w:val="240"/>
        </w:trPr>
        <w:tc>
          <w:tcPr>
            <w:tcW w:w="3828" w:type="dxa"/>
            <w:gridSpan w:val="2"/>
            <w:tcBorders>
              <w:bottom w:val="single" w:sz="6" w:space="0" w:color="000000"/>
            </w:tcBorders>
            <w:shd w:val="clear" w:color="000000" w:fill="FFFFFF"/>
            <w:vAlign w:val="center"/>
          </w:tcPr>
          <w:p w:rsidR="00837097" w:rsidRPr="00B66241" w:rsidRDefault="00837097" w:rsidP="006E36A1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 xml:space="preserve">Hearing </w:t>
            </w:r>
            <w:r>
              <w:rPr>
                <w:rFonts w:ascii="Trebuchet MS" w:hAnsi="Trebuchet MS"/>
                <w:snapToGrid w:val="0"/>
                <w:sz w:val="16"/>
                <w:szCs w:val="16"/>
              </w:rPr>
              <w:t>a</w:t>
            </w: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ids</w:t>
            </w:r>
          </w:p>
        </w:tc>
        <w:tc>
          <w:tcPr>
            <w:tcW w:w="5976" w:type="dxa"/>
            <w:gridSpan w:val="5"/>
            <w:tcBorders>
              <w:bottom w:val="single" w:sz="6" w:space="0" w:color="000000"/>
            </w:tcBorders>
            <w:shd w:val="clear" w:color="000000" w:fill="FFFFFF"/>
          </w:tcPr>
          <w:p w:rsidR="00837097" w:rsidRPr="00B66241" w:rsidRDefault="00837097" w:rsidP="0021080E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  <w:t xml:space="preserve">Maximum reimbursement $4,000 per person, every five </w:t>
            </w:r>
            <w:r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  <w:t xml:space="preserve">plan </w:t>
            </w:r>
            <w:r w:rsidRPr="00B66241"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  <w:t>years</w:t>
            </w:r>
          </w:p>
        </w:tc>
      </w:tr>
    </w:tbl>
    <w:p w:rsidR="00D41D75" w:rsidRDefault="00D41D75" w:rsidP="00D41D75">
      <w:pPr>
        <w:rPr>
          <w:rFonts w:ascii="Trebuchet MS" w:hAnsi="Trebuchet MS"/>
          <w:b/>
        </w:rPr>
      </w:pPr>
    </w:p>
    <w:p w:rsidR="00D41D75" w:rsidRPr="00DA6747" w:rsidRDefault="00D41D75" w:rsidP="003E2598">
      <w:pPr>
        <w:rPr>
          <w:rFonts w:ascii="Trebuchet MS" w:hAnsi="Trebuchet MS"/>
          <w:sz w:val="20"/>
        </w:rPr>
      </w:pPr>
      <w:r w:rsidRPr="00DA6747">
        <w:rPr>
          <w:rFonts w:ascii="Trebuchet MS" w:hAnsi="Trebuchet MS"/>
        </w:rPr>
        <w:t>*</w:t>
      </w:r>
      <w:r w:rsidR="00270EDB">
        <w:rPr>
          <w:rFonts w:ascii="Trebuchet MS" w:hAnsi="Trebuchet MS"/>
          <w:sz w:val="20"/>
          <w:u w:val="single"/>
        </w:rPr>
        <w:t>D</w:t>
      </w:r>
      <w:r w:rsidRPr="00DA6747">
        <w:rPr>
          <w:rFonts w:ascii="Trebuchet MS" w:hAnsi="Trebuchet MS"/>
          <w:sz w:val="20"/>
          <w:u w:val="single"/>
        </w:rPr>
        <w:t>efined preventive care services</w:t>
      </w:r>
      <w:r w:rsidRPr="00DA6747">
        <w:rPr>
          <w:rFonts w:ascii="Trebuchet MS" w:hAnsi="Trebuchet MS"/>
          <w:sz w:val="20"/>
        </w:rPr>
        <w:t xml:space="preserve"> will be provided at 100% when an In Network </w:t>
      </w:r>
      <w:r w:rsidR="002610C7" w:rsidRPr="00DA6747">
        <w:rPr>
          <w:rFonts w:ascii="Trebuchet MS" w:hAnsi="Trebuchet MS"/>
          <w:sz w:val="20"/>
        </w:rPr>
        <w:t>Physician</w:t>
      </w:r>
      <w:r w:rsidRPr="00DA6747">
        <w:rPr>
          <w:rFonts w:ascii="Trebuchet MS" w:hAnsi="Trebuchet MS"/>
          <w:sz w:val="20"/>
        </w:rPr>
        <w:t xml:space="preserve"> or facility is used</w:t>
      </w:r>
      <w:r w:rsidR="00DA6747">
        <w:rPr>
          <w:rFonts w:ascii="Trebuchet MS" w:hAnsi="Trebuchet MS"/>
          <w:sz w:val="20"/>
        </w:rPr>
        <w:t>.</w:t>
      </w:r>
      <w:r w:rsidR="005454B1">
        <w:rPr>
          <w:rFonts w:ascii="Trebuchet MS" w:hAnsi="Trebuchet MS"/>
          <w:sz w:val="20"/>
        </w:rPr>
        <w:t xml:space="preserve"> </w:t>
      </w:r>
      <w:r w:rsidRPr="00DA6747">
        <w:rPr>
          <w:rFonts w:ascii="Trebuchet MS" w:hAnsi="Trebuchet MS"/>
          <w:sz w:val="20"/>
        </w:rPr>
        <w:t>Defined preventive services are determined by gender and age and recommendations may change from time</w:t>
      </w:r>
      <w:r w:rsidR="003E2598" w:rsidRPr="00DA6747">
        <w:rPr>
          <w:rFonts w:ascii="Trebuchet MS" w:hAnsi="Trebuchet MS"/>
          <w:sz w:val="20"/>
        </w:rPr>
        <w:t>-</w:t>
      </w:r>
      <w:r w:rsidRPr="00DA6747">
        <w:rPr>
          <w:rFonts w:ascii="Trebuchet MS" w:hAnsi="Trebuchet MS"/>
          <w:sz w:val="20"/>
        </w:rPr>
        <w:t>to</w:t>
      </w:r>
      <w:r w:rsidR="003E2598" w:rsidRPr="00DA6747">
        <w:rPr>
          <w:rFonts w:ascii="Trebuchet MS" w:hAnsi="Trebuchet MS"/>
          <w:sz w:val="20"/>
        </w:rPr>
        <w:t>-</w:t>
      </w:r>
      <w:r w:rsidRPr="00DA6747">
        <w:rPr>
          <w:rFonts w:ascii="Trebuchet MS" w:hAnsi="Trebuchet MS"/>
          <w:sz w:val="20"/>
        </w:rPr>
        <w:t xml:space="preserve">time.  Always check </w:t>
      </w:r>
      <w:r w:rsidR="003E2598" w:rsidRPr="00DA6747">
        <w:rPr>
          <w:rFonts w:ascii="Trebuchet MS" w:hAnsi="Trebuchet MS"/>
          <w:sz w:val="20"/>
        </w:rPr>
        <w:t xml:space="preserve">with the Insurance Administrator for </w:t>
      </w:r>
      <w:r w:rsidRPr="00DA6747">
        <w:rPr>
          <w:rFonts w:ascii="Trebuchet MS" w:hAnsi="Trebuchet MS"/>
          <w:sz w:val="20"/>
        </w:rPr>
        <w:t>the most recent recommendations provided separately from this general overview and discuss them with your doctor.</w:t>
      </w:r>
    </w:p>
    <w:p w:rsidR="00DA6747" w:rsidRPr="00DA6747" w:rsidRDefault="00DA6747" w:rsidP="003E2598">
      <w:pPr>
        <w:rPr>
          <w:rFonts w:ascii="Trebuchet MS" w:hAnsi="Trebuchet MS"/>
          <w:sz w:val="20"/>
        </w:rPr>
      </w:pPr>
    </w:p>
    <w:p w:rsidR="008F0C47" w:rsidRDefault="008F0C47" w:rsidP="00DA6747">
      <w:pPr>
        <w:tabs>
          <w:tab w:val="left" w:pos="3780"/>
        </w:tabs>
        <w:rPr>
          <w:rFonts w:ascii="Trebuchet MS" w:hAnsi="Trebuchet MS"/>
          <w:b/>
          <w:szCs w:val="24"/>
        </w:rPr>
      </w:pPr>
    </w:p>
    <w:p w:rsidR="00DA6747" w:rsidRDefault="008F0C47" w:rsidP="00DA6747">
      <w:pPr>
        <w:tabs>
          <w:tab w:val="left" w:pos="3780"/>
        </w:tabs>
        <w:rPr>
          <w:rFonts w:ascii="Trebuchet MS" w:hAnsi="Trebuchet MS"/>
          <w:b/>
          <w:szCs w:val="24"/>
        </w:rPr>
      </w:pPr>
      <w:r w:rsidRPr="008F0C47">
        <w:rPr>
          <w:rFonts w:ascii="Trebuchet MS" w:hAnsi="Trebuchet MS"/>
          <w:b/>
          <w:szCs w:val="24"/>
        </w:rPr>
        <w:t xml:space="preserve">For U.S. Prescription drug coverage, please refer to the separate Pharmacy Benefit Grid. </w:t>
      </w:r>
    </w:p>
    <w:p w:rsidR="00B207B4" w:rsidRDefault="00B207B4" w:rsidP="00DA6747">
      <w:pPr>
        <w:tabs>
          <w:tab w:val="left" w:pos="3780"/>
        </w:tabs>
        <w:rPr>
          <w:rFonts w:ascii="Trebuchet MS" w:hAnsi="Trebuchet MS"/>
          <w:b/>
          <w:szCs w:val="24"/>
        </w:rPr>
      </w:pPr>
    </w:p>
    <w:p w:rsidR="00B207B4" w:rsidRDefault="00B207B4" w:rsidP="00DA6747">
      <w:pPr>
        <w:tabs>
          <w:tab w:val="left" w:pos="3780"/>
        </w:tabs>
        <w:rPr>
          <w:rFonts w:ascii="Trebuchet MS" w:hAnsi="Trebuchet MS"/>
          <w:b/>
          <w:szCs w:val="24"/>
        </w:rPr>
      </w:pPr>
    </w:p>
    <w:p w:rsidR="00B207B4" w:rsidRDefault="00B207B4" w:rsidP="00DA6747">
      <w:pPr>
        <w:tabs>
          <w:tab w:val="left" w:pos="3780"/>
        </w:tabs>
        <w:rPr>
          <w:rFonts w:ascii="Trebuchet MS" w:hAnsi="Trebuchet MS"/>
          <w:b/>
          <w:szCs w:val="24"/>
        </w:rPr>
      </w:pPr>
    </w:p>
    <w:p w:rsidR="00B207B4" w:rsidRDefault="00B207B4" w:rsidP="00DA6747">
      <w:pPr>
        <w:tabs>
          <w:tab w:val="left" w:pos="3780"/>
        </w:tabs>
        <w:rPr>
          <w:rFonts w:ascii="Trebuchet MS" w:hAnsi="Trebuchet MS"/>
          <w:b/>
          <w:szCs w:val="24"/>
        </w:rPr>
      </w:pPr>
    </w:p>
    <w:p w:rsidR="00B207B4" w:rsidRDefault="00B207B4" w:rsidP="00DA6747">
      <w:pPr>
        <w:tabs>
          <w:tab w:val="left" w:pos="3780"/>
        </w:tabs>
        <w:rPr>
          <w:rFonts w:ascii="Trebuchet MS" w:hAnsi="Trebuchet MS"/>
          <w:b/>
          <w:szCs w:val="24"/>
        </w:rPr>
      </w:pPr>
    </w:p>
    <w:p w:rsidR="00B207B4" w:rsidRDefault="00B207B4" w:rsidP="00DA6747">
      <w:pPr>
        <w:tabs>
          <w:tab w:val="left" w:pos="3780"/>
        </w:tabs>
        <w:rPr>
          <w:rFonts w:ascii="Trebuchet MS" w:hAnsi="Trebuchet MS"/>
          <w:b/>
          <w:szCs w:val="24"/>
        </w:rPr>
      </w:pPr>
    </w:p>
    <w:p w:rsidR="00B207B4" w:rsidRDefault="00B207B4" w:rsidP="00DA6747">
      <w:pPr>
        <w:tabs>
          <w:tab w:val="left" w:pos="3780"/>
        </w:tabs>
        <w:rPr>
          <w:rFonts w:ascii="Trebuchet MS" w:hAnsi="Trebuchet MS"/>
          <w:b/>
          <w:szCs w:val="24"/>
        </w:rPr>
      </w:pPr>
    </w:p>
    <w:p w:rsidR="00B207B4" w:rsidRDefault="00B207B4" w:rsidP="00DA6747">
      <w:pPr>
        <w:tabs>
          <w:tab w:val="left" w:pos="3780"/>
        </w:tabs>
        <w:rPr>
          <w:rFonts w:ascii="Trebuchet MS" w:hAnsi="Trebuchet MS"/>
          <w:b/>
          <w:szCs w:val="24"/>
        </w:rPr>
      </w:pPr>
    </w:p>
    <w:p w:rsidR="00B207B4" w:rsidRDefault="00B207B4" w:rsidP="00DA6747">
      <w:pPr>
        <w:tabs>
          <w:tab w:val="left" w:pos="3780"/>
        </w:tabs>
        <w:rPr>
          <w:rFonts w:ascii="Trebuchet MS" w:hAnsi="Trebuchet MS"/>
          <w:b/>
          <w:szCs w:val="24"/>
        </w:rPr>
      </w:pPr>
    </w:p>
    <w:p w:rsidR="00B207B4" w:rsidRPr="008F0C47" w:rsidRDefault="00B207B4" w:rsidP="00DA6747">
      <w:pPr>
        <w:tabs>
          <w:tab w:val="left" w:pos="3780"/>
        </w:tabs>
        <w:rPr>
          <w:rFonts w:ascii="Trebuchet MS" w:hAnsi="Trebuchet MS"/>
          <w:b/>
          <w:szCs w:val="24"/>
        </w:rPr>
      </w:pPr>
    </w:p>
    <w:p w:rsidR="00DA6747" w:rsidRDefault="00DA6747" w:rsidP="00DA6747">
      <w:pPr>
        <w:tabs>
          <w:tab w:val="left" w:pos="3780"/>
        </w:tabs>
        <w:rPr>
          <w:rFonts w:ascii="Trebuchet MS" w:hAnsi="Trebuchet MS"/>
          <w:sz w:val="18"/>
          <w:szCs w:val="18"/>
        </w:rPr>
      </w:pPr>
    </w:p>
    <w:p w:rsidR="00DA6747" w:rsidRPr="00DA6747" w:rsidRDefault="00DA6747">
      <w:pPr>
        <w:rPr>
          <w:sz w:val="20"/>
        </w:rPr>
      </w:pPr>
    </w:p>
    <w:p w:rsidR="006E36A1" w:rsidRPr="007149CE" w:rsidRDefault="006E36A1" w:rsidP="00CB20D7">
      <w:pPr>
        <w:tabs>
          <w:tab w:val="left" w:pos="3780"/>
        </w:tabs>
        <w:rPr>
          <w:rFonts w:ascii="Trebuchet MS" w:hAnsi="Trebuchet MS"/>
          <w:sz w:val="16"/>
          <w:szCs w:val="16"/>
        </w:rPr>
      </w:pPr>
    </w:p>
    <w:p w:rsidR="004E073F" w:rsidRDefault="004E073F" w:rsidP="00A53735">
      <w:pPr>
        <w:tabs>
          <w:tab w:val="left" w:pos="3780"/>
        </w:tabs>
        <w:rPr>
          <w:rFonts w:ascii="Trebuchet MS" w:hAnsi="Trebuchet MS"/>
          <w:sz w:val="16"/>
          <w:szCs w:val="16"/>
        </w:rPr>
      </w:pPr>
    </w:p>
    <w:p w:rsidR="00023453" w:rsidRDefault="00023453" w:rsidP="00A53735">
      <w:pPr>
        <w:tabs>
          <w:tab w:val="left" w:pos="3780"/>
        </w:tabs>
        <w:rPr>
          <w:rFonts w:ascii="Trebuchet MS" w:hAnsi="Trebuchet MS"/>
          <w:szCs w:val="24"/>
        </w:rPr>
      </w:pPr>
    </w:p>
    <w:p w:rsidR="00B207B4" w:rsidRDefault="00B93625" w:rsidP="00B93625">
      <w:pPr>
        <w:ind w:left="220" w:right="-20"/>
        <w:rPr>
          <w:rFonts w:ascii="Trebuchet MS" w:hAnsi="Trebuchet MS"/>
          <w:snapToGrid w:val="0"/>
          <w:sz w:val="16"/>
          <w:szCs w:val="16"/>
        </w:rPr>
      </w:pPr>
      <w:r w:rsidRPr="00B207B4">
        <w:rPr>
          <w:rFonts w:ascii="Trebuchet MS" w:hAnsi="Trebuchet MS"/>
          <w:snapToGrid w:val="0"/>
          <w:sz w:val="16"/>
          <w:szCs w:val="16"/>
        </w:rPr>
        <w:t xml:space="preserve"> </w:t>
      </w:r>
    </w:p>
    <w:p w:rsidR="00B207B4" w:rsidRDefault="00B207B4" w:rsidP="00B93625">
      <w:pPr>
        <w:ind w:left="220" w:right="-20"/>
        <w:rPr>
          <w:rFonts w:ascii="Trebuchet MS" w:hAnsi="Trebuchet MS"/>
          <w:snapToGrid w:val="0"/>
          <w:sz w:val="16"/>
          <w:szCs w:val="16"/>
        </w:rPr>
      </w:pPr>
    </w:p>
    <w:p w:rsidR="00A67E50" w:rsidRDefault="00A67E50" w:rsidP="00B207B4">
      <w:pPr>
        <w:pStyle w:val="Heading1"/>
        <w:rPr>
          <w:snapToGrid w:val="0"/>
        </w:rPr>
      </w:pPr>
    </w:p>
    <w:p w:rsidR="00B93625" w:rsidRPr="00B207B4" w:rsidRDefault="00B93625" w:rsidP="00B207B4">
      <w:pPr>
        <w:pStyle w:val="Heading1"/>
        <w:rPr>
          <w:snapToGrid w:val="0"/>
        </w:rPr>
      </w:pPr>
      <w:r w:rsidRPr="00B207B4">
        <w:rPr>
          <w:snapToGrid w:val="0"/>
        </w:rPr>
        <w:t xml:space="preserve">Cigna Dental Benefit Summary – Retiree - Plan 2  </w:t>
      </w:r>
    </w:p>
    <w:p w:rsidR="00B93625" w:rsidRDefault="00B93625" w:rsidP="00B207B4">
      <w:pPr>
        <w:ind w:right="-20"/>
        <w:rPr>
          <w:rFonts w:asciiTheme="minorHAnsi" w:eastAsiaTheme="minorHAnsi" w:hAnsiTheme="minorHAnsi" w:cstheme="minorBidi"/>
          <w:sz w:val="2"/>
          <w:szCs w:val="2"/>
        </w:rPr>
      </w:pPr>
      <w:r>
        <w:rPr>
          <w:i/>
          <w:sz w:val="18"/>
          <w:szCs w:val="18"/>
        </w:rPr>
        <w:t>All deductibles, plan maximums, and service specific maximums (dollar and occurrence) cross accumulate between in and out of network.</w:t>
      </w:r>
    </w:p>
    <w:tbl>
      <w:tblPr>
        <w:tblW w:w="9969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1710"/>
        <w:gridCol w:w="1800"/>
        <w:gridCol w:w="1710"/>
        <w:gridCol w:w="1620"/>
      </w:tblGrid>
      <w:tr w:rsidR="00B93625" w:rsidRPr="00B93625" w:rsidTr="00B207B4">
        <w:trPr>
          <w:trHeight w:hRule="exact" w:val="303"/>
        </w:trPr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625" w:rsidRPr="00B207B4" w:rsidRDefault="00B93625">
            <w:pPr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684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B93625" w:rsidRPr="00B207B4" w:rsidRDefault="00B93625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Cigna Dental PPO</w:t>
            </w:r>
          </w:p>
        </w:tc>
      </w:tr>
      <w:tr w:rsidR="00B93625" w:rsidRPr="00B93625" w:rsidTr="00B207B4">
        <w:trPr>
          <w:trHeight w:hRule="exact" w:val="245"/>
        </w:trPr>
        <w:tc>
          <w:tcPr>
            <w:tcW w:w="31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B93625" w:rsidRPr="00B207B4" w:rsidRDefault="00B93625">
            <w:pPr>
              <w:ind w:left="159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Network</w:t>
            </w:r>
          </w:p>
        </w:tc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B93625" w:rsidRPr="00B207B4" w:rsidRDefault="00B93625">
            <w:pPr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Total Cigna DPPO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B93625" w:rsidRPr="00B207B4" w:rsidRDefault="00B93625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Out-of-Network</w:t>
            </w:r>
          </w:p>
        </w:tc>
      </w:tr>
      <w:tr w:rsidR="00B93625" w:rsidRPr="00B93625" w:rsidTr="00B207B4">
        <w:trPr>
          <w:trHeight w:hRule="exact" w:val="475"/>
        </w:trPr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625" w:rsidRPr="00B207B4" w:rsidRDefault="00B93625">
            <w:pPr>
              <w:ind w:left="101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Calendar Year Maximum</w:t>
            </w:r>
          </w:p>
          <w:p w:rsidR="00B93625" w:rsidRPr="00B207B4" w:rsidRDefault="00B93625">
            <w:pPr>
              <w:ind w:left="101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(Class I, II &amp; III expenses)</w:t>
            </w:r>
          </w:p>
        </w:tc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625" w:rsidRPr="00B207B4" w:rsidRDefault="00B93625">
            <w:pPr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B93625" w:rsidRPr="00B207B4" w:rsidRDefault="00B93625">
            <w:pPr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$2,000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625" w:rsidRPr="00B207B4" w:rsidRDefault="00B93625">
            <w:pPr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B93625" w:rsidRPr="00B207B4" w:rsidRDefault="00B93625">
            <w:pPr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$2,000</w:t>
            </w:r>
          </w:p>
        </w:tc>
      </w:tr>
      <w:tr w:rsidR="00B93625" w:rsidRPr="00B93625" w:rsidTr="00B207B4">
        <w:trPr>
          <w:trHeight w:hRule="exact" w:val="705"/>
        </w:trPr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625" w:rsidRPr="00B207B4" w:rsidRDefault="00B93625">
            <w:pPr>
              <w:ind w:left="101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Annual Deductible</w:t>
            </w:r>
          </w:p>
          <w:p w:rsidR="00B93625" w:rsidRPr="00B207B4" w:rsidRDefault="00B93625">
            <w:pPr>
              <w:ind w:left="101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Individual</w:t>
            </w:r>
          </w:p>
          <w:p w:rsidR="00B93625" w:rsidRPr="00B207B4" w:rsidRDefault="00B93625">
            <w:pPr>
              <w:ind w:left="101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Family</w:t>
            </w:r>
          </w:p>
        </w:tc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625" w:rsidRPr="00B207B4" w:rsidRDefault="00B93625">
            <w:pPr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B93625" w:rsidRPr="00B207B4" w:rsidRDefault="00B93625">
            <w:pPr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$250</w:t>
            </w:r>
          </w:p>
          <w:p w:rsidR="00B93625" w:rsidRPr="00B207B4" w:rsidRDefault="00B93625">
            <w:pPr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$500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625" w:rsidRPr="00B207B4" w:rsidRDefault="00B93625">
            <w:pPr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B93625" w:rsidRPr="00B207B4" w:rsidRDefault="00B93625">
            <w:pPr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$250</w:t>
            </w:r>
          </w:p>
          <w:p w:rsidR="00B93625" w:rsidRPr="00B207B4" w:rsidRDefault="00B93625">
            <w:pPr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$500</w:t>
            </w:r>
          </w:p>
        </w:tc>
      </w:tr>
      <w:tr w:rsidR="00B93625" w:rsidRPr="00B93625" w:rsidTr="00B207B4">
        <w:trPr>
          <w:trHeight w:hRule="exact" w:val="447"/>
        </w:trPr>
        <w:tc>
          <w:tcPr>
            <w:tcW w:w="31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93625" w:rsidRPr="00B207B4" w:rsidRDefault="00B93625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Reimbursement Levels</w:t>
            </w:r>
          </w:p>
        </w:tc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93625" w:rsidRPr="00B207B4" w:rsidRDefault="00B93625">
            <w:pPr>
              <w:ind w:left="96"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Based on Reduced Contracted Fees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625" w:rsidRPr="00B207B4" w:rsidRDefault="00B93625">
            <w:pPr>
              <w:ind w:left="96"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 xml:space="preserve">80th percentile of Reasonable &amp; Customary Allowances </w:t>
            </w:r>
          </w:p>
        </w:tc>
      </w:tr>
      <w:tr w:rsidR="00B93625" w:rsidRPr="00B93625" w:rsidTr="00B207B4">
        <w:trPr>
          <w:trHeight w:hRule="exact" w:val="245"/>
        </w:trPr>
        <w:tc>
          <w:tcPr>
            <w:tcW w:w="31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B93625" w:rsidRPr="00B207B4" w:rsidRDefault="00B93625">
            <w:pPr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 xml:space="preserve">  Benefits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B93625" w:rsidRPr="00B207B4" w:rsidRDefault="00B93625">
            <w:pPr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Plan Pays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B93625" w:rsidRPr="00B207B4" w:rsidRDefault="00B93625">
            <w:pPr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You Pay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B93625" w:rsidRPr="00B207B4" w:rsidRDefault="00B93625">
            <w:pPr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Plan Pays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B93625" w:rsidRPr="00B207B4" w:rsidRDefault="00B93625">
            <w:pPr>
              <w:ind w:left="545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You Pay</w:t>
            </w:r>
          </w:p>
        </w:tc>
      </w:tr>
      <w:tr w:rsidR="00B93625" w:rsidRPr="00B93625" w:rsidTr="00196A6C">
        <w:trPr>
          <w:trHeight w:hRule="exact" w:val="3003"/>
        </w:trPr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625" w:rsidRPr="00B207B4" w:rsidRDefault="00B93625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Class I:  Preventive &amp; Diagnostic</w:t>
            </w:r>
          </w:p>
          <w:p w:rsidR="00B93625" w:rsidRPr="00B207B4" w:rsidRDefault="00B93625">
            <w:pPr>
              <w:ind w:left="96" w:right="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Oral Exams Routine - 2 per calendar year</w:t>
            </w:r>
          </w:p>
          <w:p w:rsidR="00B93625" w:rsidRPr="00B207B4" w:rsidRDefault="00B93625">
            <w:pPr>
              <w:ind w:left="96" w:right="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Routine Cleanings  - 2 per calendar year</w:t>
            </w:r>
          </w:p>
          <w:p w:rsidR="00B93625" w:rsidRPr="00B207B4" w:rsidRDefault="00B93625">
            <w:pPr>
              <w:ind w:left="96" w:right="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Routine X-rays  - Bitewings: 2 per calendar year</w:t>
            </w:r>
          </w:p>
          <w:p w:rsidR="00B93625" w:rsidRPr="00B207B4" w:rsidRDefault="00B93625">
            <w:pPr>
              <w:ind w:left="96" w:right="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Non-Routine X-Rays - Full mouth: 1 every 36 consecutive months; Panorex: 1 every 36 consecutive months</w:t>
            </w:r>
          </w:p>
          <w:p w:rsidR="00B93625" w:rsidRPr="00B207B4" w:rsidRDefault="00B93625">
            <w:pPr>
              <w:ind w:left="96" w:right="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Fluoride Application  - 1 per calendar year under age 19</w:t>
            </w:r>
          </w:p>
          <w:p w:rsidR="00B93625" w:rsidRPr="00B207B4" w:rsidRDefault="00B93625">
            <w:pPr>
              <w:ind w:left="96" w:right="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Sealants - Limited to posterior tooth. 1 treatment per tooth every three years up to age 14</w:t>
            </w:r>
          </w:p>
          <w:p w:rsidR="00B93625" w:rsidRPr="00B207B4" w:rsidRDefault="00B93625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Space Maintainers - Limited to non-orthodontic treatment</w:t>
            </w:r>
          </w:p>
          <w:p w:rsidR="00B93625" w:rsidRPr="00B207B4" w:rsidRDefault="00B93625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625" w:rsidRPr="00B207B4" w:rsidRDefault="00B93625" w:rsidP="00196A6C">
            <w:pPr>
              <w:pStyle w:val="DctBenSum1"/>
              <w:spacing w:line="276" w:lineRule="auto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100%</w:t>
            </w:r>
          </w:p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No Deductible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625" w:rsidRPr="00B207B4" w:rsidRDefault="00B93625" w:rsidP="00196A6C">
            <w:pPr>
              <w:pStyle w:val="DctBenSum1"/>
              <w:spacing w:line="276" w:lineRule="auto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No Charge</w:t>
            </w:r>
          </w:p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No Deductible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625" w:rsidRPr="00B207B4" w:rsidRDefault="00B93625" w:rsidP="00196A6C">
            <w:pPr>
              <w:pStyle w:val="DctBenSum1"/>
              <w:spacing w:line="276" w:lineRule="auto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80%</w:t>
            </w:r>
          </w:p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No Deductible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625" w:rsidRPr="00B207B4" w:rsidRDefault="00B93625" w:rsidP="00196A6C">
            <w:pPr>
              <w:pStyle w:val="DctBenSum1"/>
              <w:spacing w:line="276" w:lineRule="auto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20%</w:t>
            </w:r>
          </w:p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No Deductible</w:t>
            </w:r>
          </w:p>
        </w:tc>
      </w:tr>
      <w:tr w:rsidR="00B93625" w:rsidRPr="00B93625" w:rsidTr="00196A6C">
        <w:trPr>
          <w:trHeight w:hRule="exact" w:val="1743"/>
        </w:trPr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625" w:rsidRPr="00B207B4" w:rsidRDefault="00B93625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 xml:space="preserve">Class II: Basic Restorative </w:t>
            </w:r>
          </w:p>
          <w:p w:rsidR="00B93625" w:rsidRPr="00B207B4" w:rsidRDefault="00B93625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Fillings</w:t>
            </w:r>
          </w:p>
          <w:p w:rsidR="00B93625" w:rsidRPr="00B207B4" w:rsidRDefault="00B93625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Root Canal Therapy / Endodontics</w:t>
            </w:r>
          </w:p>
          <w:p w:rsidR="00B93625" w:rsidRPr="00B207B4" w:rsidRDefault="00B93625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Emergency Care to Relieve Pain</w:t>
            </w:r>
          </w:p>
          <w:p w:rsidR="00B93625" w:rsidRPr="00B207B4" w:rsidRDefault="00B93625">
            <w:pPr>
              <w:ind w:left="96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Root Planing and Scaling - Various limitations depending on the service</w:t>
            </w:r>
          </w:p>
          <w:p w:rsidR="00B93625" w:rsidRPr="00B207B4" w:rsidRDefault="00B93625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Splinting</w:t>
            </w:r>
          </w:p>
          <w:p w:rsidR="00B93625" w:rsidRPr="00B207B4" w:rsidRDefault="00B93625">
            <w:pPr>
              <w:ind w:left="96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Oral Surgery – Simple Extractions</w:t>
            </w:r>
          </w:p>
          <w:p w:rsidR="00B93625" w:rsidRPr="00B207B4" w:rsidRDefault="00B93625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Anesthesia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80%</w:t>
            </w:r>
          </w:p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After  Deductible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20%</w:t>
            </w:r>
          </w:p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After  Deductible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80%</w:t>
            </w:r>
          </w:p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After  Deductible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20%</w:t>
            </w:r>
          </w:p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After  Deductible</w:t>
            </w:r>
          </w:p>
        </w:tc>
      </w:tr>
      <w:tr w:rsidR="00B93625" w:rsidRPr="00B93625" w:rsidTr="00196A6C">
        <w:trPr>
          <w:trHeight w:hRule="exact" w:val="4227"/>
        </w:trPr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3625" w:rsidRPr="00B207B4" w:rsidRDefault="00B93625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Class III:  Major Restorative</w:t>
            </w:r>
          </w:p>
          <w:p w:rsidR="00B93625" w:rsidRPr="00B207B4" w:rsidRDefault="00B93625">
            <w:pPr>
              <w:ind w:left="96" w:right="864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Crowns – Replacement every 5 years</w:t>
            </w:r>
          </w:p>
          <w:p w:rsidR="00B93625" w:rsidRPr="00B207B4" w:rsidRDefault="00B93625">
            <w:pPr>
              <w:ind w:left="96" w:right="864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Dentures – Replacement every 5 years</w:t>
            </w:r>
          </w:p>
          <w:p w:rsidR="00B93625" w:rsidRPr="00B207B4" w:rsidRDefault="00B93625">
            <w:pPr>
              <w:ind w:left="96" w:right="864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Bridges – Replacement every 5 years</w:t>
            </w:r>
          </w:p>
          <w:p w:rsidR="00B93625" w:rsidRPr="00B207B4" w:rsidRDefault="00B93625">
            <w:pPr>
              <w:ind w:left="96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Inlays / Onlays – Replacement every 5 years</w:t>
            </w:r>
          </w:p>
          <w:p w:rsidR="00B93625" w:rsidRPr="00B207B4" w:rsidRDefault="00B93625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 xml:space="preserve">Prosthesis Over Implant - 1 per every 5 years if unserviceable and cannot be repaired. Benefits are based on the amount payable for non- precious metals. </w:t>
            </w:r>
          </w:p>
          <w:p w:rsidR="00B93625" w:rsidRPr="00B207B4" w:rsidRDefault="00B93625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Repairs to Dentures, Bridges, Crowns and Inlays - Reviewed if more than once</w:t>
            </w:r>
          </w:p>
          <w:p w:rsidR="00B93625" w:rsidRPr="00B207B4" w:rsidRDefault="00B93625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Stainless Steel/Resin Crowns</w:t>
            </w:r>
          </w:p>
          <w:p w:rsidR="00B93625" w:rsidRPr="00B207B4" w:rsidRDefault="00B93625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Transepithelial Cytologic / Brush Biopsies</w:t>
            </w:r>
          </w:p>
          <w:p w:rsidR="00B93625" w:rsidRPr="00B207B4" w:rsidRDefault="00B93625">
            <w:pPr>
              <w:ind w:left="96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Relines, Rebases and Adjustments – Covered if more than 6 months after installation</w:t>
            </w:r>
          </w:p>
          <w:p w:rsidR="00B93625" w:rsidRPr="00B207B4" w:rsidRDefault="00B93625">
            <w:pPr>
              <w:ind w:left="96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B93625" w:rsidRPr="00B207B4" w:rsidRDefault="00B93625">
            <w:pPr>
              <w:ind w:left="96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50%</w:t>
            </w:r>
          </w:p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After  Deductible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50%</w:t>
            </w:r>
          </w:p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After  Deductible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50%</w:t>
            </w:r>
          </w:p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After  Deductible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50%</w:t>
            </w:r>
          </w:p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After  Deductible</w:t>
            </w:r>
          </w:p>
        </w:tc>
      </w:tr>
      <w:tr w:rsidR="00B93625" w:rsidRPr="00B93625" w:rsidTr="00B207B4">
        <w:trPr>
          <w:trHeight w:hRule="exact" w:val="9"/>
        </w:trPr>
        <w:tc>
          <w:tcPr>
            <w:tcW w:w="31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625" w:rsidRPr="00B207B4" w:rsidRDefault="00B93625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Relines, Rebases, Denture Adjustments - Covered if more than 6 months after installation</w:t>
            </w:r>
          </w:p>
          <w:p w:rsidR="005C5964" w:rsidRDefault="005C5964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5C5964" w:rsidRPr="005C5964" w:rsidRDefault="005C5964" w:rsidP="005C5964">
            <w:pPr>
              <w:rPr>
                <w:rFonts w:ascii="Trebuchet MS" w:hAnsi="Trebuchet MS"/>
                <w:sz w:val="16"/>
                <w:szCs w:val="16"/>
              </w:rPr>
            </w:pPr>
          </w:p>
          <w:p w:rsidR="005C5964" w:rsidRPr="005C5964" w:rsidRDefault="005C5964" w:rsidP="005C5964">
            <w:pPr>
              <w:rPr>
                <w:rFonts w:ascii="Trebuchet MS" w:hAnsi="Trebuchet MS"/>
                <w:sz w:val="16"/>
                <w:szCs w:val="16"/>
              </w:rPr>
            </w:pPr>
          </w:p>
          <w:p w:rsidR="005C5964" w:rsidRDefault="005C5964" w:rsidP="005C5964">
            <w:pPr>
              <w:rPr>
                <w:rFonts w:ascii="Trebuchet MS" w:hAnsi="Trebuchet MS"/>
                <w:sz w:val="16"/>
                <w:szCs w:val="16"/>
              </w:rPr>
            </w:pPr>
          </w:p>
          <w:p w:rsidR="00B93625" w:rsidRPr="005C5964" w:rsidRDefault="00B93625" w:rsidP="005C596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625" w:rsidRPr="00B207B4" w:rsidRDefault="00B93625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625" w:rsidRPr="00B207B4" w:rsidRDefault="00B93625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625" w:rsidRPr="00B207B4" w:rsidRDefault="00B93625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625" w:rsidRPr="00B207B4" w:rsidRDefault="00B93625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</w:tr>
      <w:tr w:rsidR="00B207B4" w:rsidRPr="00B93625" w:rsidTr="00196A6C">
        <w:trPr>
          <w:trHeight w:hRule="exact" w:val="1833"/>
        </w:trPr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93625" w:rsidRPr="00B207B4" w:rsidRDefault="00B93625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lastRenderedPageBreak/>
              <w:t>Class IV: Orthodontia</w:t>
            </w:r>
          </w:p>
          <w:p w:rsidR="00B93625" w:rsidRPr="00B207B4" w:rsidRDefault="00B93625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B93625" w:rsidRPr="00B207B4" w:rsidRDefault="00B93625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Lifetime Maximum</w:t>
            </w:r>
          </w:p>
          <w:p w:rsidR="00B93625" w:rsidRPr="00B207B4" w:rsidRDefault="00B93625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B93625" w:rsidRPr="00B207B4" w:rsidRDefault="00B93625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Study Models or Diagnostic Casts - Payable only when in conjunction with orthodontic workup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50%</w:t>
            </w:r>
          </w:p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After  Deductible</w:t>
            </w:r>
          </w:p>
          <w:p w:rsidR="00B93625" w:rsidRPr="00B207B4" w:rsidRDefault="00B93625" w:rsidP="00196A6C">
            <w:pPr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B93625" w:rsidRPr="00B207B4" w:rsidRDefault="00B93625" w:rsidP="00196A6C">
            <w:pPr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$1,000</w:t>
            </w:r>
          </w:p>
          <w:p w:rsidR="00B93625" w:rsidRPr="00B207B4" w:rsidRDefault="00B93625" w:rsidP="00196A6C">
            <w:pPr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50%</w:t>
            </w:r>
          </w:p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After  Deductible</w:t>
            </w:r>
          </w:p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B93625" w:rsidRPr="00B207B4" w:rsidRDefault="00B93625" w:rsidP="00196A6C">
            <w:pPr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50%</w:t>
            </w:r>
          </w:p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After  Deductible</w:t>
            </w:r>
          </w:p>
          <w:p w:rsidR="00B93625" w:rsidRPr="00B207B4" w:rsidRDefault="00B93625" w:rsidP="00196A6C">
            <w:pPr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B93625" w:rsidRPr="00B207B4" w:rsidRDefault="00B93625" w:rsidP="00196A6C">
            <w:pPr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$1,000</w:t>
            </w:r>
          </w:p>
          <w:p w:rsidR="00B93625" w:rsidRPr="00B207B4" w:rsidRDefault="00B93625" w:rsidP="00196A6C">
            <w:pPr>
              <w:ind w:left="96" w:right="4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50%</w:t>
            </w:r>
          </w:p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After  Deductible</w:t>
            </w:r>
          </w:p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B93625" w:rsidRPr="00B207B4" w:rsidRDefault="00B93625" w:rsidP="00196A6C">
            <w:pPr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B93625" w:rsidRPr="00B207B4" w:rsidRDefault="00B93625" w:rsidP="00196A6C">
            <w:pPr>
              <w:ind w:right="46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</w:tr>
      <w:tr w:rsidR="00B93625" w:rsidRPr="00B93625" w:rsidTr="00B207B4">
        <w:tc>
          <w:tcPr>
            <w:tcW w:w="99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625" w:rsidRPr="00B207B4" w:rsidRDefault="00B93625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</w:tr>
      <w:tr w:rsidR="00B207B4" w:rsidRPr="00B93625" w:rsidTr="005809F3">
        <w:trPr>
          <w:trHeight w:hRule="exact" w:val="2058"/>
        </w:trPr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3625" w:rsidRPr="00B207B4" w:rsidRDefault="00B93625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 xml:space="preserve">Class VI: Periodontal </w:t>
            </w:r>
          </w:p>
          <w:p w:rsidR="00B93625" w:rsidRPr="00B207B4" w:rsidRDefault="00B93625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B93625" w:rsidRPr="00B207B4" w:rsidRDefault="00B93625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Gingivectomy</w:t>
            </w:r>
          </w:p>
          <w:p w:rsidR="00B93625" w:rsidRPr="00B207B4" w:rsidRDefault="00B93625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Gingivioplasty</w:t>
            </w:r>
          </w:p>
          <w:p w:rsidR="00B93625" w:rsidRPr="00B207B4" w:rsidRDefault="00B93625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Alveoplasty</w:t>
            </w:r>
          </w:p>
          <w:p w:rsidR="00B93625" w:rsidRPr="00B207B4" w:rsidRDefault="00B93625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Vestibuloplasty</w:t>
            </w:r>
          </w:p>
          <w:p w:rsidR="00196A6C" w:rsidRPr="00B207B4" w:rsidRDefault="00B93625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Osseous Surgery</w:t>
            </w:r>
          </w:p>
          <w:p w:rsidR="00B93625" w:rsidRPr="00B207B4" w:rsidRDefault="00B93625">
            <w:pPr>
              <w:pStyle w:val="Heading6"/>
              <w:ind w:left="77"/>
              <w:rPr>
                <w:rFonts w:ascii="Trebuchet MS" w:hAnsi="Trebuchet MS"/>
                <w:i w:val="0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i w:val="0"/>
                <w:snapToGrid w:val="0"/>
                <w:sz w:val="16"/>
                <w:szCs w:val="16"/>
              </w:rPr>
              <w:t>No Annual or Lifetime Max</w:t>
            </w:r>
            <w:bookmarkStart w:id="0" w:name="_GoBack"/>
            <w:bookmarkEnd w:id="0"/>
            <w:r w:rsidRPr="00B207B4">
              <w:rPr>
                <w:rFonts w:ascii="Trebuchet MS" w:hAnsi="Trebuchet MS"/>
                <w:i w:val="0"/>
                <w:snapToGrid w:val="0"/>
                <w:sz w:val="16"/>
                <w:szCs w:val="16"/>
              </w:rPr>
              <w:t>imums apply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50%</w:t>
            </w:r>
          </w:p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50%</w:t>
            </w:r>
          </w:p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50%</w:t>
            </w:r>
          </w:p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50%</w:t>
            </w:r>
          </w:p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</w:tc>
      </w:tr>
      <w:tr w:rsidR="00B207B4" w:rsidRPr="00B93625" w:rsidTr="005809F3">
        <w:trPr>
          <w:trHeight w:hRule="exact" w:val="1257"/>
        </w:trPr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3625" w:rsidRPr="00B207B4" w:rsidRDefault="00B93625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Class VII: Oral Surgery</w:t>
            </w:r>
          </w:p>
          <w:p w:rsidR="00B93625" w:rsidRPr="00B207B4" w:rsidRDefault="00B93625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B93625" w:rsidRPr="00B207B4" w:rsidRDefault="00B93625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Surgical Extractions of Impacted Teeth</w:t>
            </w:r>
          </w:p>
          <w:p w:rsidR="00B93625" w:rsidRPr="00B207B4" w:rsidRDefault="00B93625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B93625" w:rsidRPr="00B207B4" w:rsidRDefault="00B93625" w:rsidP="00B207B4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No Annual or Lifetime Maximums apply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50%</w:t>
            </w:r>
          </w:p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50%</w:t>
            </w:r>
          </w:p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50%</w:t>
            </w:r>
          </w:p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50%</w:t>
            </w:r>
          </w:p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</w:tc>
      </w:tr>
      <w:tr w:rsidR="00B207B4" w:rsidRPr="00B93625" w:rsidTr="005809F3">
        <w:trPr>
          <w:trHeight w:hRule="exact" w:val="1257"/>
        </w:trPr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3625" w:rsidRDefault="00B93625">
            <w:pPr>
              <w:pStyle w:val="Heading6"/>
              <w:ind w:left="77"/>
              <w:rPr>
                <w:rFonts w:ascii="Trebuchet MS" w:hAnsi="Trebuchet MS"/>
                <w:i w:val="0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i w:val="0"/>
                <w:snapToGrid w:val="0"/>
                <w:sz w:val="16"/>
                <w:szCs w:val="16"/>
              </w:rPr>
              <w:t>Class IX: Surgical Implants</w:t>
            </w:r>
          </w:p>
          <w:p w:rsidR="00196A6C" w:rsidRPr="00196A6C" w:rsidRDefault="00196A6C" w:rsidP="00196A6C"/>
          <w:p w:rsidR="00B93625" w:rsidRPr="00B207B4" w:rsidRDefault="00B93625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No Annual or Lifetime Maximums apply</w:t>
            </w:r>
          </w:p>
          <w:p w:rsidR="00B93625" w:rsidRPr="00B207B4" w:rsidRDefault="00B93625">
            <w:pPr>
              <w:pStyle w:val="Heading6"/>
              <w:ind w:firstLine="77"/>
              <w:rPr>
                <w:rFonts w:ascii="Trebuchet MS" w:hAnsi="Trebuchet MS"/>
                <w:i w:val="0"/>
                <w:snapToGrid w:val="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50%</w:t>
            </w:r>
          </w:p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After  Deductible</w:t>
            </w:r>
          </w:p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50%</w:t>
            </w:r>
          </w:p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50%</w:t>
            </w:r>
          </w:p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After  Deductible</w:t>
            </w:r>
          </w:p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50%</w:t>
            </w:r>
          </w:p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207B4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B93625" w:rsidRPr="00B207B4" w:rsidRDefault="00B93625" w:rsidP="00196A6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</w:tr>
    </w:tbl>
    <w:p w:rsidR="008F0C47" w:rsidRPr="00B207B4" w:rsidRDefault="008F0C47" w:rsidP="009E66AB">
      <w:pPr>
        <w:tabs>
          <w:tab w:val="left" w:pos="3780"/>
        </w:tabs>
        <w:rPr>
          <w:rFonts w:ascii="Trebuchet MS" w:hAnsi="Trebuchet MS"/>
          <w:snapToGrid w:val="0"/>
          <w:sz w:val="16"/>
          <w:szCs w:val="16"/>
        </w:rPr>
      </w:pPr>
    </w:p>
    <w:sectPr w:rsidR="008F0C47" w:rsidRPr="00B207B4" w:rsidSect="003E3328">
      <w:headerReference w:type="default" r:id="rId12"/>
      <w:footerReference w:type="default" r:id="rId13"/>
      <w:pgSz w:w="12240" w:h="15840" w:code="1"/>
      <w:pgMar w:top="720" w:right="1440" w:bottom="720" w:left="1440" w:header="720" w:footer="25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658" w:rsidRPr="003E3328" w:rsidRDefault="005D2658">
      <w:pPr>
        <w:rPr>
          <w:sz w:val="21"/>
          <w:szCs w:val="21"/>
        </w:rPr>
      </w:pPr>
      <w:r w:rsidRPr="003E3328">
        <w:rPr>
          <w:sz w:val="21"/>
          <w:szCs w:val="21"/>
        </w:rPr>
        <w:separator/>
      </w:r>
    </w:p>
  </w:endnote>
  <w:endnote w:type="continuationSeparator" w:id="0">
    <w:p w:rsidR="005D2658" w:rsidRPr="003E3328" w:rsidRDefault="005D2658">
      <w:pPr>
        <w:rPr>
          <w:sz w:val="21"/>
          <w:szCs w:val="21"/>
        </w:rPr>
      </w:pPr>
      <w:r w:rsidRPr="003E3328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5A1" w:rsidRPr="007E022C" w:rsidRDefault="00837097" w:rsidP="00B207B4">
    <w:pPr>
      <w:pStyle w:val="Footer"/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R</w:t>
    </w:r>
    <w:r w:rsidR="005A5722">
      <w:rPr>
        <w:rFonts w:ascii="Tahoma" w:hAnsi="Tahoma" w:cs="Tahoma"/>
        <w:sz w:val="20"/>
      </w:rPr>
      <w:t xml:space="preserve">evision – </w:t>
    </w:r>
    <w:r w:rsidR="005809F3">
      <w:rPr>
        <w:rFonts w:ascii="Tahoma" w:hAnsi="Tahoma" w:cs="Tahoma"/>
        <w:sz w:val="20"/>
      </w:rPr>
      <w:t>3/13/2018</w:t>
    </w:r>
    <w:r w:rsidR="00B207B4">
      <w:rPr>
        <w:rFonts w:ascii="Tahoma" w:hAnsi="Tahoma" w:cs="Tahoma"/>
        <w:sz w:val="20"/>
      </w:rPr>
      <w:t xml:space="preserve">                                                                                                            G</w:t>
    </w:r>
    <w:r w:rsidR="007E022C">
      <w:rPr>
        <w:rFonts w:ascii="Tahoma" w:hAnsi="Tahoma" w:cs="Tahoma"/>
        <w:sz w:val="20"/>
      </w:rPr>
      <w:t>00076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658" w:rsidRPr="003E3328" w:rsidRDefault="005D2658">
      <w:pPr>
        <w:rPr>
          <w:sz w:val="21"/>
          <w:szCs w:val="21"/>
        </w:rPr>
      </w:pPr>
      <w:r w:rsidRPr="003E3328">
        <w:rPr>
          <w:sz w:val="21"/>
          <w:szCs w:val="21"/>
        </w:rPr>
        <w:separator/>
      </w:r>
    </w:p>
  </w:footnote>
  <w:footnote w:type="continuationSeparator" w:id="0">
    <w:p w:rsidR="005D2658" w:rsidRPr="003E3328" w:rsidRDefault="005D2658">
      <w:pPr>
        <w:rPr>
          <w:sz w:val="21"/>
          <w:szCs w:val="21"/>
        </w:rPr>
      </w:pPr>
      <w:r w:rsidRPr="003E3328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5A1" w:rsidRPr="007E022C" w:rsidRDefault="00270EDB" w:rsidP="007E022C">
    <w:pPr>
      <w:pStyle w:val="Header"/>
      <w:rPr>
        <w:rFonts w:ascii="Verdana" w:hAnsi="Verdana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F78669D" wp14:editId="29057385">
          <wp:simplePos x="0" y="0"/>
          <wp:positionH relativeFrom="column">
            <wp:posOffset>0</wp:posOffset>
          </wp:positionH>
          <wp:positionV relativeFrom="paragraph">
            <wp:posOffset>-47625</wp:posOffset>
          </wp:positionV>
          <wp:extent cx="342900" cy="342900"/>
          <wp:effectExtent l="19050" t="0" r="0" b="0"/>
          <wp:wrapTight wrapText="bothSides">
            <wp:wrapPolygon edited="0">
              <wp:start x="-1200" y="0"/>
              <wp:lineTo x="-1200" y="20400"/>
              <wp:lineTo x="21600" y="20400"/>
              <wp:lineTo x="21600" y="0"/>
              <wp:lineTo x="-1200" y="0"/>
            </wp:wrapPolygon>
          </wp:wrapTight>
          <wp:docPr id="1" name="Picture 1" descr="wbcube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cube-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022C" w:rsidRPr="00D72A95">
      <w:rPr>
        <w:rFonts w:ascii="Verdana" w:hAnsi="Verdana"/>
        <w:b/>
        <w:sz w:val="28"/>
        <w:szCs w:val="28"/>
      </w:rPr>
      <w:t xml:space="preserve"> Retiree MIP Plan 2 Summary</w:t>
    </w:r>
    <w:r w:rsidR="007E022C">
      <w:rPr>
        <w:rFonts w:ascii="Verdana" w:hAnsi="Verdana"/>
        <w:b/>
        <w:sz w:val="28"/>
        <w:szCs w:val="28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1E83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10B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BE419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B2214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A06A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E27D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B0D2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D26D0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2C0A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F080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DD70BF"/>
    <w:multiLevelType w:val="multilevel"/>
    <w:tmpl w:val="D16479FA"/>
    <w:lvl w:ilvl="0">
      <w:start w:val="1"/>
      <w:numFmt w:val="upperRoman"/>
      <w:pStyle w:val="Outline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2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3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4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797E1710"/>
    <w:multiLevelType w:val="singleLevel"/>
    <w:tmpl w:val="B030C604"/>
    <w:lvl w:ilvl="0">
      <w:start w:val="1"/>
      <w:numFmt w:val="bullet"/>
      <w:pStyle w:val="outlin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1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1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1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1"/>
  </w:num>
  <w:num w:numId="28">
    <w:abstractNumId w:val="1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7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46"/>
    <w:rsid w:val="000167BB"/>
    <w:rsid w:val="00023453"/>
    <w:rsid w:val="00027D98"/>
    <w:rsid w:val="00064E6C"/>
    <w:rsid w:val="00072FCF"/>
    <w:rsid w:val="000867C1"/>
    <w:rsid w:val="0014245B"/>
    <w:rsid w:val="00163F72"/>
    <w:rsid w:val="00170B3E"/>
    <w:rsid w:val="00196A6C"/>
    <w:rsid w:val="0021080E"/>
    <w:rsid w:val="00224C36"/>
    <w:rsid w:val="002610C7"/>
    <w:rsid w:val="00270EDB"/>
    <w:rsid w:val="00285426"/>
    <w:rsid w:val="002A31DA"/>
    <w:rsid w:val="002A5C1D"/>
    <w:rsid w:val="002D3162"/>
    <w:rsid w:val="002E54E3"/>
    <w:rsid w:val="00305DF2"/>
    <w:rsid w:val="003063CA"/>
    <w:rsid w:val="003070D3"/>
    <w:rsid w:val="00362DB1"/>
    <w:rsid w:val="00394C75"/>
    <w:rsid w:val="003C2DC9"/>
    <w:rsid w:val="003D01C6"/>
    <w:rsid w:val="003E2598"/>
    <w:rsid w:val="003E3328"/>
    <w:rsid w:val="004033EA"/>
    <w:rsid w:val="00411894"/>
    <w:rsid w:val="004130A9"/>
    <w:rsid w:val="00414339"/>
    <w:rsid w:val="004421EE"/>
    <w:rsid w:val="00442E69"/>
    <w:rsid w:val="0045166D"/>
    <w:rsid w:val="00472AD0"/>
    <w:rsid w:val="00485AE3"/>
    <w:rsid w:val="004B3D50"/>
    <w:rsid w:val="004B5B13"/>
    <w:rsid w:val="004E073F"/>
    <w:rsid w:val="004E2E78"/>
    <w:rsid w:val="00527026"/>
    <w:rsid w:val="005454B1"/>
    <w:rsid w:val="00566695"/>
    <w:rsid w:val="005809F3"/>
    <w:rsid w:val="00587668"/>
    <w:rsid w:val="005A5722"/>
    <w:rsid w:val="005C5964"/>
    <w:rsid w:val="005D2658"/>
    <w:rsid w:val="005D360E"/>
    <w:rsid w:val="005F31B6"/>
    <w:rsid w:val="00615962"/>
    <w:rsid w:val="00622EF8"/>
    <w:rsid w:val="006342EA"/>
    <w:rsid w:val="00643768"/>
    <w:rsid w:val="00670CE5"/>
    <w:rsid w:val="00685150"/>
    <w:rsid w:val="00685FA3"/>
    <w:rsid w:val="00687C0F"/>
    <w:rsid w:val="006C4596"/>
    <w:rsid w:val="006D7F6E"/>
    <w:rsid w:val="006E36A1"/>
    <w:rsid w:val="006E3E35"/>
    <w:rsid w:val="00711EBC"/>
    <w:rsid w:val="007149CE"/>
    <w:rsid w:val="00742907"/>
    <w:rsid w:val="00753A2E"/>
    <w:rsid w:val="007A2A15"/>
    <w:rsid w:val="007B2163"/>
    <w:rsid w:val="007B5F18"/>
    <w:rsid w:val="007C0214"/>
    <w:rsid w:val="007C76A6"/>
    <w:rsid w:val="007E022C"/>
    <w:rsid w:val="007E77AA"/>
    <w:rsid w:val="007F3F11"/>
    <w:rsid w:val="007F5EEB"/>
    <w:rsid w:val="00807A5E"/>
    <w:rsid w:val="00837097"/>
    <w:rsid w:val="008537E9"/>
    <w:rsid w:val="008743FA"/>
    <w:rsid w:val="008B03A8"/>
    <w:rsid w:val="008D4DA6"/>
    <w:rsid w:val="008D68A6"/>
    <w:rsid w:val="008F0C47"/>
    <w:rsid w:val="00900DA7"/>
    <w:rsid w:val="00946962"/>
    <w:rsid w:val="00991B7C"/>
    <w:rsid w:val="00995E33"/>
    <w:rsid w:val="009B6146"/>
    <w:rsid w:val="009C41E2"/>
    <w:rsid w:val="009E66AB"/>
    <w:rsid w:val="00A014EB"/>
    <w:rsid w:val="00A33C38"/>
    <w:rsid w:val="00A40BF6"/>
    <w:rsid w:val="00A4650C"/>
    <w:rsid w:val="00A53735"/>
    <w:rsid w:val="00A612F2"/>
    <w:rsid w:val="00A65F0D"/>
    <w:rsid w:val="00A67E50"/>
    <w:rsid w:val="00A84397"/>
    <w:rsid w:val="00A97BE4"/>
    <w:rsid w:val="00AA3519"/>
    <w:rsid w:val="00AA6CC6"/>
    <w:rsid w:val="00AB10E6"/>
    <w:rsid w:val="00AB7F6D"/>
    <w:rsid w:val="00AC0A18"/>
    <w:rsid w:val="00AC47B3"/>
    <w:rsid w:val="00B02964"/>
    <w:rsid w:val="00B07A1B"/>
    <w:rsid w:val="00B1019D"/>
    <w:rsid w:val="00B207B4"/>
    <w:rsid w:val="00B20C03"/>
    <w:rsid w:val="00B25969"/>
    <w:rsid w:val="00B34FCF"/>
    <w:rsid w:val="00B46702"/>
    <w:rsid w:val="00B519AA"/>
    <w:rsid w:val="00B53D7F"/>
    <w:rsid w:val="00B63396"/>
    <w:rsid w:val="00B66241"/>
    <w:rsid w:val="00B735A1"/>
    <w:rsid w:val="00B93625"/>
    <w:rsid w:val="00BC5C99"/>
    <w:rsid w:val="00BD4A18"/>
    <w:rsid w:val="00BD6FA8"/>
    <w:rsid w:val="00BE05FA"/>
    <w:rsid w:val="00BE47B9"/>
    <w:rsid w:val="00C17CBE"/>
    <w:rsid w:val="00C62D62"/>
    <w:rsid w:val="00C91ABC"/>
    <w:rsid w:val="00CB20D7"/>
    <w:rsid w:val="00CD4DB2"/>
    <w:rsid w:val="00CE631D"/>
    <w:rsid w:val="00CF4BC9"/>
    <w:rsid w:val="00D118A0"/>
    <w:rsid w:val="00D15AD5"/>
    <w:rsid w:val="00D37A50"/>
    <w:rsid w:val="00D41D75"/>
    <w:rsid w:val="00D54F87"/>
    <w:rsid w:val="00D6153F"/>
    <w:rsid w:val="00D62E77"/>
    <w:rsid w:val="00D63D07"/>
    <w:rsid w:val="00DA6747"/>
    <w:rsid w:val="00E17CA4"/>
    <w:rsid w:val="00E2296F"/>
    <w:rsid w:val="00E462E4"/>
    <w:rsid w:val="00EB47E5"/>
    <w:rsid w:val="00ED39E0"/>
    <w:rsid w:val="00EF228F"/>
    <w:rsid w:val="00F20AB5"/>
    <w:rsid w:val="00F374CF"/>
    <w:rsid w:val="00F514AD"/>
    <w:rsid w:val="00F9242B"/>
    <w:rsid w:val="00F92F62"/>
    <w:rsid w:val="00F9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9AE57"/>
  <w15:docId w15:val="{53BC84F9-398C-424F-B21B-41760B1D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296F"/>
    <w:rPr>
      <w:sz w:val="24"/>
    </w:rPr>
  </w:style>
  <w:style w:type="paragraph" w:styleId="Heading1">
    <w:name w:val="heading 1"/>
    <w:basedOn w:val="Normal"/>
    <w:next w:val="Normal"/>
    <w:qFormat/>
    <w:rsid w:val="00E229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2296F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E2296F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E2296F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E2296F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E2296F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E2296F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2296F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E2296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">
    <w:name w:val="Outline"/>
    <w:basedOn w:val="Normal"/>
    <w:rsid w:val="00E2296F"/>
    <w:pPr>
      <w:spacing w:before="240"/>
    </w:pPr>
    <w:rPr>
      <w:kern w:val="28"/>
    </w:rPr>
  </w:style>
  <w:style w:type="paragraph" w:customStyle="1" w:styleId="Outline1">
    <w:name w:val="Outline1"/>
    <w:basedOn w:val="Outline"/>
    <w:next w:val="Outline2"/>
    <w:rsid w:val="00E2296F"/>
    <w:pPr>
      <w:keepNext/>
      <w:numPr>
        <w:numId w:val="23"/>
      </w:numPr>
      <w:tabs>
        <w:tab w:val="clear" w:pos="432"/>
        <w:tab w:val="num" w:pos="360"/>
      </w:tabs>
      <w:ind w:left="360" w:hanging="360"/>
    </w:pPr>
  </w:style>
  <w:style w:type="paragraph" w:customStyle="1" w:styleId="Outline2">
    <w:name w:val="Outline2"/>
    <w:basedOn w:val="Normal"/>
    <w:rsid w:val="00E2296F"/>
    <w:pPr>
      <w:numPr>
        <w:ilvl w:val="1"/>
        <w:numId w:val="24"/>
      </w:numPr>
      <w:tabs>
        <w:tab w:val="clear" w:pos="1152"/>
        <w:tab w:val="num" w:pos="864"/>
      </w:tabs>
      <w:spacing w:before="240"/>
      <w:ind w:left="864" w:hanging="504"/>
    </w:pPr>
    <w:rPr>
      <w:kern w:val="28"/>
    </w:rPr>
  </w:style>
  <w:style w:type="paragraph" w:customStyle="1" w:styleId="Outline3">
    <w:name w:val="Outline3"/>
    <w:basedOn w:val="Normal"/>
    <w:rsid w:val="00E2296F"/>
    <w:pPr>
      <w:numPr>
        <w:ilvl w:val="2"/>
        <w:numId w:val="25"/>
      </w:numPr>
      <w:tabs>
        <w:tab w:val="clear" w:pos="1728"/>
        <w:tab w:val="num" w:pos="1368"/>
      </w:tabs>
      <w:spacing w:before="240"/>
      <w:ind w:left="1368" w:hanging="504"/>
    </w:pPr>
    <w:rPr>
      <w:kern w:val="28"/>
    </w:rPr>
  </w:style>
  <w:style w:type="paragraph" w:customStyle="1" w:styleId="Outline4">
    <w:name w:val="Outline4"/>
    <w:basedOn w:val="Normal"/>
    <w:rsid w:val="00E2296F"/>
    <w:pPr>
      <w:numPr>
        <w:ilvl w:val="3"/>
        <w:numId w:val="26"/>
      </w:numPr>
      <w:tabs>
        <w:tab w:val="clear" w:pos="2304"/>
        <w:tab w:val="num" w:pos="1872"/>
      </w:tabs>
      <w:spacing w:before="240"/>
      <w:ind w:left="1872" w:hanging="504"/>
    </w:pPr>
    <w:rPr>
      <w:kern w:val="28"/>
    </w:rPr>
  </w:style>
  <w:style w:type="paragraph" w:customStyle="1" w:styleId="outlinebullet">
    <w:name w:val="outlinebullet"/>
    <w:basedOn w:val="Normal"/>
    <w:rsid w:val="00E2296F"/>
    <w:pPr>
      <w:numPr>
        <w:numId w:val="28"/>
      </w:numPr>
      <w:tabs>
        <w:tab w:val="clear" w:pos="360"/>
        <w:tab w:val="left" w:pos="1440"/>
      </w:tabs>
      <w:spacing w:before="120"/>
      <w:ind w:left="1440" w:hanging="450"/>
    </w:pPr>
  </w:style>
  <w:style w:type="paragraph" w:styleId="BlockText">
    <w:name w:val="Block Text"/>
    <w:basedOn w:val="Normal"/>
    <w:rsid w:val="00E2296F"/>
    <w:pPr>
      <w:spacing w:after="120"/>
      <w:ind w:left="1440" w:right="1440"/>
    </w:pPr>
  </w:style>
  <w:style w:type="paragraph" w:styleId="BodyText">
    <w:name w:val="Body Text"/>
    <w:basedOn w:val="Normal"/>
    <w:rsid w:val="00E2296F"/>
    <w:pPr>
      <w:spacing w:after="120"/>
    </w:pPr>
  </w:style>
  <w:style w:type="paragraph" w:styleId="BodyText2">
    <w:name w:val="Body Text 2"/>
    <w:basedOn w:val="Normal"/>
    <w:rsid w:val="00E2296F"/>
    <w:pPr>
      <w:spacing w:after="120" w:line="480" w:lineRule="auto"/>
    </w:pPr>
  </w:style>
  <w:style w:type="paragraph" w:styleId="BodyText3">
    <w:name w:val="Body Text 3"/>
    <w:basedOn w:val="Normal"/>
    <w:rsid w:val="00E2296F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E2296F"/>
    <w:pPr>
      <w:ind w:firstLine="210"/>
    </w:pPr>
  </w:style>
  <w:style w:type="paragraph" w:styleId="BodyTextIndent">
    <w:name w:val="Body Text Indent"/>
    <w:basedOn w:val="Normal"/>
    <w:rsid w:val="00E2296F"/>
    <w:pPr>
      <w:spacing w:after="120"/>
      <w:ind w:left="360"/>
    </w:pPr>
  </w:style>
  <w:style w:type="paragraph" w:styleId="BodyTextFirstIndent2">
    <w:name w:val="Body Text First Indent 2"/>
    <w:basedOn w:val="BodyTextIndent"/>
    <w:rsid w:val="00E2296F"/>
    <w:pPr>
      <w:ind w:firstLine="210"/>
    </w:pPr>
  </w:style>
  <w:style w:type="paragraph" w:styleId="BodyTextIndent2">
    <w:name w:val="Body Text Indent 2"/>
    <w:basedOn w:val="Normal"/>
    <w:rsid w:val="00E2296F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E2296F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E2296F"/>
    <w:pPr>
      <w:spacing w:before="120" w:after="120"/>
    </w:pPr>
    <w:rPr>
      <w:b/>
    </w:rPr>
  </w:style>
  <w:style w:type="paragraph" w:styleId="Closing">
    <w:name w:val="Closing"/>
    <w:basedOn w:val="Normal"/>
    <w:rsid w:val="00E2296F"/>
    <w:pPr>
      <w:ind w:left="4320"/>
    </w:pPr>
  </w:style>
  <w:style w:type="paragraph" w:styleId="CommentText">
    <w:name w:val="annotation text"/>
    <w:basedOn w:val="Normal"/>
    <w:semiHidden/>
    <w:rsid w:val="00E2296F"/>
    <w:rPr>
      <w:sz w:val="20"/>
    </w:rPr>
  </w:style>
  <w:style w:type="paragraph" w:styleId="Date">
    <w:name w:val="Date"/>
    <w:basedOn w:val="Normal"/>
    <w:next w:val="Normal"/>
    <w:rsid w:val="00E2296F"/>
  </w:style>
  <w:style w:type="paragraph" w:styleId="DocumentMap">
    <w:name w:val="Document Map"/>
    <w:basedOn w:val="Normal"/>
    <w:semiHidden/>
    <w:rsid w:val="00E2296F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E2296F"/>
    <w:rPr>
      <w:sz w:val="20"/>
    </w:rPr>
  </w:style>
  <w:style w:type="paragraph" w:styleId="EnvelopeAddress">
    <w:name w:val="envelope address"/>
    <w:basedOn w:val="Normal"/>
    <w:rsid w:val="00E2296F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E2296F"/>
    <w:rPr>
      <w:rFonts w:ascii="Arial" w:hAnsi="Arial"/>
      <w:sz w:val="20"/>
    </w:rPr>
  </w:style>
  <w:style w:type="paragraph" w:styleId="Footer">
    <w:name w:val="footer"/>
    <w:basedOn w:val="Normal"/>
    <w:rsid w:val="00E229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E2296F"/>
    <w:rPr>
      <w:sz w:val="20"/>
    </w:rPr>
  </w:style>
  <w:style w:type="paragraph" w:styleId="Header">
    <w:name w:val="header"/>
    <w:basedOn w:val="Normal"/>
    <w:rsid w:val="00E2296F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E2296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2296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2296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2296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2296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2296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2296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2296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2296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2296F"/>
    <w:rPr>
      <w:rFonts w:ascii="Arial" w:hAnsi="Arial"/>
      <w:b/>
    </w:rPr>
  </w:style>
  <w:style w:type="paragraph" w:styleId="List">
    <w:name w:val="List"/>
    <w:basedOn w:val="Normal"/>
    <w:rsid w:val="00E2296F"/>
    <w:pPr>
      <w:ind w:left="360" w:hanging="360"/>
    </w:pPr>
  </w:style>
  <w:style w:type="paragraph" w:styleId="List2">
    <w:name w:val="List 2"/>
    <w:basedOn w:val="Normal"/>
    <w:rsid w:val="00E2296F"/>
    <w:pPr>
      <w:ind w:left="720" w:hanging="360"/>
    </w:pPr>
  </w:style>
  <w:style w:type="paragraph" w:styleId="List3">
    <w:name w:val="List 3"/>
    <w:basedOn w:val="Normal"/>
    <w:rsid w:val="00E2296F"/>
    <w:pPr>
      <w:ind w:left="1080" w:hanging="360"/>
    </w:pPr>
  </w:style>
  <w:style w:type="paragraph" w:styleId="List4">
    <w:name w:val="List 4"/>
    <w:basedOn w:val="Normal"/>
    <w:rsid w:val="00E2296F"/>
    <w:pPr>
      <w:ind w:left="1440" w:hanging="360"/>
    </w:pPr>
  </w:style>
  <w:style w:type="paragraph" w:styleId="List5">
    <w:name w:val="List 5"/>
    <w:basedOn w:val="Normal"/>
    <w:rsid w:val="00E2296F"/>
    <w:pPr>
      <w:ind w:left="1800" w:hanging="360"/>
    </w:pPr>
  </w:style>
  <w:style w:type="paragraph" w:styleId="ListBullet">
    <w:name w:val="List Bullet"/>
    <w:basedOn w:val="Normal"/>
    <w:autoRedefine/>
    <w:rsid w:val="00E2296F"/>
    <w:pPr>
      <w:numPr>
        <w:numId w:val="29"/>
      </w:numPr>
    </w:pPr>
  </w:style>
  <w:style w:type="paragraph" w:styleId="ListBullet2">
    <w:name w:val="List Bullet 2"/>
    <w:basedOn w:val="Normal"/>
    <w:autoRedefine/>
    <w:rsid w:val="00E2296F"/>
    <w:pPr>
      <w:numPr>
        <w:numId w:val="30"/>
      </w:numPr>
    </w:pPr>
  </w:style>
  <w:style w:type="paragraph" w:styleId="ListBullet3">
    <w:name w:val="List Bullet 3"/>
    <w:basedOn w:val="Normal"/>
    <w:autoRedefine/>
    <w:rsid w:val="00E2296F"/>
    <w:pPr>
      <w:numPr>
        <w:numId w:val="31"/>
      </w:numPr>
    </w:pPr>
  </w:style>
  <w:style w:type="paragraph" w:styleId="ListBullet4">
    <w:name w:val="List Bullet 4"/>
    <w:basedOn w:val="Normal"/>
    <w:autoRedefine/>
    <w:rsid w:val="00E2296F"/>
    <w:pPr>
      <w:numPr>
        <w:numId w:val="32"/>
      </w:numPr>
    </w:pPr>
  </w:style>
  <w:style w:type="paragraph" w:styleId="ListBullet5">
    <w:name w:val="List Bullet 5"/>
    <w:basedOn w:val="Normal"/>
    <w:autoRedefine/>
    <w:rsid w:val="00E2296F"/>
    <w:pPr>
      <w:numPr>
        <w:numId w:val="33"/>
      </w:numPr>
    </w:pPr>
  </w:style>
  <w:style w:type="paragraph" w:styleId="ListContinue">
    <w:name w:val="List Continue"/>
    <w:basedOn w:val="Normal"/>
    <w:rsid w:val="00E2296F"/>
    <w:pPr>
      <w:spacing w:after="120"/>
      <w:ind w:left="360"/>
    </w:pPr>
  </w:style>
  <w:style w:type="paragraph" w:styleId="ListContinue2">
    <w:name w:val="List Continue 2"/>
    <w:basedOn w:val="Normal"/>
    <w:rsid w:val="00E2296F"/>
    <w:pPr>
      <w:spacing w:after="120"/>
      <w:ind w:left="720"/>
    </w:pPr>
  </w:style>
  <w:style w:type="paragraph" w:styleId="ListContinue3">
    <w:name w:val="List Continue 3"/>
    <w:basedOn w:val="Normal"/>
    <w:rsid w:val="00E2296F"/>
    <w:pPr>
      <w:spacing w:after="120"/>
      <w:ind w:left="1080"/>
    </w:pPr>
  </w:style>
  <w:style w:type="paragraph" w:styleId="ListContinue4">
    <w:name w:val="List Continue 4"/>
    <w:basedOn w:val="Normal"/>
    <w:rsid w:val="00E2296F"/>
    <w:pPr>
      <w:spacing w:after="120"/>
      <w:ind w:left="1440"/>
    </w:pPr>
  </w:style>
  <w:style w:type="paragraph" w:styleId="ListContinue5">
    <w:name w:val="List Continue 5"/>
    <w:basedOn w:val="Normal"/>
    <w:rsid w:val="00E2296F"/>
    <w:pPr>
      <w:spacing w:after="120"/>
      <w:ind w:left="1800"/>
    </w:pPr>
  </w:style>
  <w:style w:type="paragraph" w:styleId="ListNumber">
    <w:name w:val="List Number"/>
    <w:basedOn w:val="Normal"/>
    <w:rsid w:val="00E2296F"/>
    <w:pPr>
      <w:numPr>
        <w:numId w:val="34"/>
      </w:numPr>
    </w:pPr>
  </w:style>
  <w:style w:type="paragraph" w:styleId="ListNumber2">
    <w:name w:val="List Number 2"/>
    <w:basedOn w:val="Normal"/>
    <w:rsid w:val="00E2296F"/>
    <w:pPr>
      <w:numPr>
        <w:numId w:val="35"/>
      </w:numPr>
    </w:pPr>
  </w:style>
  <w:style w:type="paragraph" w:styleId="ListNumber3">
    <w:name w:val="List Number 3"/>
    <w:basedOn w:val="Normal"/>
    <w:rsid w:val="00E2296F"/>
    <w:pPr>
      <w:numPr>
        <w:numId w:val="36"/>
      </w:numPr>
    </w:pPr>
  </w:style>
  <w:style w:type="paragraph" w:styleId="ListNumber4">
    <w:name w:val="List Number 4"/>
    <w:basedOn w:val="Normal"/>
    <w:rsid w:val="00E2296F"/>
    <w:pPr>
      <w:numPr>
        <w:numId w:val="37"/>
      </w:numPr>
    </w:pPr>
  </w:style>
  <w:style w:type="paragraph" w:styleId="ListNumber5">
    <w:name w:val="List Number 5"/>
    <w:basedOn w:val="Normal"/>
    <w:rsid w:val="00E2296F"/>
    <w:pPr>
      <w:numPr>
        <w:numId w:val="38"/>
      </w:numPr>
    </w:pPr>
  </w:style>
  <w:style w:type="paragraph" w:styleId="MacroText">
    <w:name w:val="macro"/>
    <w:semiHidden/>
    <w:rsid w:val="00E229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E229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rsid w:val="00E2296F"/>
    <w:pPr>
      <w:ind w:left="576"/>
    </w:pPr>
  </w:style>
  <w:style w:type="paragraph" w:styleId="NoteHeading">
    <w:name w:val="Note Heading"/>
    <w:basedOn w:val="Normal"/>
    <w:next w:val="Normal"/>
    <w:rsid w:val="00E2296F"/>
  </w:style>
  <w:style w:type="paragraph" w:styleId="PlainText">
    <w:name w:val="Plain Text"/>
    <w:basedOn w:val="Normal"/>
    <w:rsid w:val="00E2296F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E2296F"/>
  </w:style>
  <w:style w:type="paragraph" w:styleId="Signature">
    <w:name w:val="Signature"/>
    <w:basedOn w:val="Normal"/>
    <w:rsid w:val="00E2296F"/>
    <w:pPr>
      <w:ind w:left="4320"/>
    </w:pPr>
  </w:style>
  <w:style w:type="paragraph" w:styleId="Subtitle">
    <w:name w:val="Subtitle"/>
    <w:basedOn w:val="Normal"/>
    <w:qFormat/>
    <w:rsid w:val="00E2296F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E2296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E2296F"/>
    <w:pPr>
      <w:ind w:left="480" w:hanging="480"/>
    </w:pPr>
  </w:style>
  <w:style w:type="paragraph" w:styleId="Title">
    <w:name w:val="Title"/>
    <w:basedOn w:val="Normal"/>
    <w:qFormat/>
    <w:rsid w:val="00E2296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E2296F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E2296F"/>
  </w:style>
  <w:style w:type="paragraph" w:styleId="TOC2">
    <w:name w:val="toc 2"/>
    <w:basedOn w:val="Normal"/>
    <w:next w:val="Normal"/>
    <w:autoRedefine/>
    <w:semiHidden/>
    <w:rsid w:val="00E2296F"/>
    <w:pPr>
      <w:ind w:left="240"/>
    </w:pPr>
  </w:style>
  <w:style w:type="paragraph" w:styleId="TOC3">
    <w:name w:val="toc 3"/>
    <w:basedOn w:val="Normal"/>
    <w:next w:val="Normal"/>
    <w:autoRedefine/>
    <w:semiHidden/>
    <w:rsid w:val="00E2296F"/>
    <w:pPr>
      <w:ind w:left="480"/>
    </w:pPr>
  </w:style>
  <w:style w:type="paragraph" w:styleId="TOC4">
    <w:name w:val="toc 4"/>
    <w:basedOn w:val="Normal"/>
    <w:next w:val="Normal"/>
    <w:autoRedefine/>
    <w:semiHidden/>
    <w:rsid w:val="00E2296F"/>
    <w:pPr>
      <w:ind w:left="720"/>
    </w:pPr>
  </w:style>
  <w:style w:type="paragraph" w:styleId="TOC5">
    <w:name w:val="toc 5"/>
    <w:basedOn w:val="Normal"/>
    <w:next w:val="Normal"/>
    <w:autoRedefine/>
    <w:semiHidden/>
    <w:rsid w:val="00E2296F"/>
    <w:pPr>
      <w:ind w:left="960"/>
    </w:pPr>
  </w:style>
  <w:style w:type="paragraph" w:styleId="TOC6">
    <w:name w:val="toc 6"/>
    <w:basedOn w:val="Normal"/>
    <w:next w:val="Normal"/>
    <w:autoRedefine/>
    <w:semiHidden/>
    <w:rsid w:val="00E2296F"/>
    <w:pPr>
      <w:ind w:left="1200"/>
    </w:pPr>
  </w:style>
  <w:style w:type="paragraph" w:styleId="TOC7">
    <w:name w:val="toc 7"/>
    <w:basedOn w:val="Normal"/>
    <w:next w:val="Normal"/>
    <w:autoRedefine/>
    <w:semiHidden/>
    <w:rsid w:val="00E2296F"/>
    <w:pPr>
      <w:ind w:left="1440"/>
    </w:pPr>
  </w:style>
  <w:style w:type="paragraph" w:styleId="TOC8">
    <w:name w:val="toc 8"/>
    <w:basedOn w:val="Normal"/>
    <w:next w:val="Normal"/>
    <w:autoRedefine/>
    <w:semiHidden/>
    <w:rsid w:val="00E2296F"/>
    <w:pPr>
      <w:ind w:left="1680"/>
    </w:pPr>
  </w:style>
  <w:style w:type="paragraph" w:styleId="TOC9">
    <w:name w:val="toc 9"/>
    <w:basedOn w:val="Normal"/>
    <w:next w:val="Normal"/>
    <w:autoRedefine/>
    <w:semiHidden/>
    <w:rsid w:val="00E2296F"/>
    <w:pPr>
      <w:ind w:left="1920"/>
    </w:pPr>
  </w:style>
  <w:style w:type="character" w:styleId="PageNumber">
    <w:name w:val="page number"/>
    <w:basedOn w:val="DefaultParagraphFont"/>
    <w:rsid w:val="00E2296F"/>
  </w:style>
  <w:style w:type="character" w:styleId="Hyperlink">
    <w:name w:val="Hyperlink"/>
    <w:basedOn w:val="DefaultParagraphFont"/>
    <w:rsid w:val="00E2296F"/>
    <w:rPr>
      <w:color w:val="0000FF"/>
      <w:u w:val="single"/>
    </w:rPr>
  </w:style>
  <w:style w:type="character" w:styleId="FollowedHyperlink">
    <w:name w:val="FollowedHyperlink"/>
    <w:basedOn w:val="DefaultParagraphFont"/>
    <w:rsid w:val="00E2296F"/>
    <w:rPr>
      <w:color w:val="800080"/>
      <w:u w:val="single"/>
    </w:rPr>
  </w:style>
  <w:style w:type="paragraph" w:styleId="E-mailSignature">
    <w:name w:val="E-mail Signature"/>
    <w:basedOn w:val="Normal"/>
    <w:rsid w:val="00E2296F"/>
  </w:style>
  <w:style w:type="paragraph" w:styleId="HTMLAddress">
    <w:name w:val="HTML Address"/>
    <w:basedOn w:val="Normal"/>
    <w:rsid w:val="00E2296F"/>
    <w:rPr>
      <w:i/>
      <w:iCs/>
    </w:rPr>
  </w:style>
  <w:style w:type="paragraph" w:styleId="HTMLPreformatted">
    <w:name w:val="HTML Preformatted"/>
    <w:basedOn w:val="Normal"/>
    <w:rsid w:val="00E2296F"/>
    <w:rPr>
      <w:rFonts w:ascii="Courier New" w:hAnsi="Courier New" w:cs="Courier New"/>
      <w:sz w:val="20"/>
    </w:rPr>
  </w:style>
  <w:style w:type="paragraph" w:styleId="NormalWeb">
    <w:name w:val="Normal (Web)"/>
    <w:basedOn w:val="Normal"/>
    <w:rsid w:val="00E2296F"/>
    <w:rPr>
      <w:szCs w:val="24"/>
    </w:rPr>
  </w:style>
  <w:style w:type="paragraph" w:styleId="BalloonText">
    <w:name w:val="Balloon Text"/>
    <w:basedOn w:val="Normal"/>
    <w:semiHidden/>
    <w:rsid w:val="006D7F6E"/>
    <w:rPr>
      <w:rFonts w:ascii="Tahoma" w:hAnsi="Tahoma" w:cs="Tahoma"/>
      <w:sz w:val="16"/>
      <w:szCs w:val="16"/>
    </w:rPr>
  </w:style>
  <w:style w:type="paragraph" w:customStyle="1" w:styleId="DctBenSum1">
    <w:name w:val="DctBenSum1"/>
    <w:basedOn w:val="Normal"/>
    <w:rsid w:val="00B93625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worldbank.org/WBSITE/INTRANET/UNITS/HR/0,,contentMDK:20377365~currentSitePK:328635~pagePK:64207891~piPK:64207885~theSitePK:328635,00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ranet.worldbank.org/WBSITE/INTRANET/UNITS/HR/0,,contentMDK:20342793~currentSitePK:328635~pagePK:64207891~piPK:64207885~theSitePK:328635,00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ranet.worldbank.org/WBSITE/INTRANET/UNITS/HR/0,,contentMDK:20605646~currentSitePK:328635~pagePK:64207891~piPK:64207885~theSitePK:328635,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ranet.worldbank.org/WBSITE/INTRANET/UNITS/HR/0,,contentMDK:20386767~currentSitePK:328635~pagePK:64207891~piPK:64207885~theSitePK:328635,00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CDCA3-F518-41C6-B5D7-2D73CCAE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</vt:lpstr>
    </vt:vector>
  </TitlesOfParts>
  <Company>The World Bank Group</Company>
  <LinksUpToDate>false</LinksUpToDate>
  <CharactersWithSpaces>7483</CharactersWithSpaces>
  <SharedDoc>false</SharedDoc>
  <HLinks>
    <vt:vector size="24" baseType="variant">
      <vt:variant>
        <vt:i4>4522048</vt:i4>
      </vt:variant>
      <vt:variant>
        <vt:i4>9</vt:i4>
      </vt:variant>
      <vt:variant>
        <vt:i4>0</vt:i4>
      </vt:variant>
      <vt:variant>
        <vt:i4>5</vt:i4>
      </vt:variant>
      <vt:variant>
        <vt:lpwstr>http://intranet.worldbank.org/WBSITE/INTRANET/UNITS/HR/0,,contentMDK:20342793~currentSitePK:328635~pagePK:64207891~piPK:64207885~theSitePK:328635,00.html</vt:lpwstr>
      </vt:variant>
      <vt:variant>
        <vt:lpwstr/>
      </vt:variant>
      <vt:variant>
        <vt:i4>4849728</vt:i4>
      </vt:variant>
      <vt:variant>
        <vt:i4>6</vt:i4>
      </vt:variant>
      <vt:variant>
        <vt:i4>0</vt:i4>
      </vt:variant>
      <vt:variant>
        <vt:i4>5</vt:i4>
      </vt:variant>
      <vt:variant>
        <vt:lpwstr>http://intranet.worldbank.org/WBSITE/INTRANET/UNITS/HR/0,,contentMDK:20605646~currentSitePK:328635~pagePK:64207891~piPK:64207885~theSitePK:328635,00.html</vt:lpwstr>
      </vt:variant>
      <vt:variant>
        <vt:lpwstr/>
      </vt:variant>
      <vt:variant>
        <vt:i4>5111880</vt:i4>
      </vt:variant>
      <vt:variant>
        <vt:i4>3</vt:i4>
      </vt:variant>
      <vt:variant>
        <vt:i4>0</vt:i4>
      </vt:variant>
      <vt:variant>
        <vt:i4>5</vt:i4>
      </vt:variant>
      <vt:variant>
        <vt:lpwstr>http://intranet.worldbank.org/WBSITE/INTRANET/UNITS/HR/0,,contentMDK:20386767~currentSitePK:328635~pagePK:64207891~piPK:64207885~theSitePK:328635,00.html</vt:lpwstr>
      </vt:variant>
      <vt:variant>
        <vt:lpwstr/>
      </vt:variant>
      <vt:variant>
        <vt:i4>5177409</vt:i4>
      </vt:variant>
      <vt:variant>
        <vt:i4>0</vt:i4>
      </vt:variant>
      <vt:variant>
        <vt:i4>0</vt:i4>
      </vt:variant>
      <vt:variant>
        <vt:i4>5</vt:i4>
      </vt:variant>
      <vt:variant>
        <vt:lpwstr>http://intranet.worldbank.org/WBSITE/INTRANET/UNITS/HR/0,,contentMDK:20377365~currentSitePK:328635~pagePK:64207891~piPK:64207885~theSitePK:328635,00.html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</dc:title>
  <dc:creator>World Bank User</dc:creator>
  <cp:lastModifiedBy>Sujithra Kanthakumar</cp:lastModifiedBy>
  <cp:revision>3</cp:revision>
  <cp:lastPrinted>2014-07-29T13:44:00Z</cp:lastPrinted>
  <dcterms:created xsi:type="dcterms:W3CDTF">2018-03-16T14:02:00Z</dcterms:created>
  <dcterms:modified xsi:type="dcterms:W3CDTF">2018-03-16T14:02:00Z</dcterms:modified>
</cp:coreProperties>
</file>