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EF08" w14:textId="0607994E" w:rsidR="0061219B" w:rsidRPr="00D15996" w:rsidRDefault="00D15996" w:rsidP="0061219B">
      <w:pPr>
        <w:pStyle w:val="Header"/>
        <w:jc w:val="center"/>
        <w:rPr>
          <w:sz w:val="32"/>
          <w:szCs w:val="32"/>
          <w:lang w:val="es-ES"/>
        </w:rPr>
      </w:pPr>
      <w:r w:rsidRPr="00D15996">
        <w:rPr>
          <w:sz w:val="32"/>
          <w:szCs w:val="32"/>
          <w:lang w:val="es-ES"/>
        </w:rPr>
        <w:t>Respuesta a</w:t>
      </w:r>
      <w:r>
        <w:rPr>
          <w:sz w:val="32"/>
          <w:szCs w:val="32"/>
          <w:lang w:val="es-ES"/>
        </w:rPr>
        <w:t xml:space="preserve"> </w:t>
      </w:r>
      <w:r w:rsidRPr="00D15996">
        <w:rPr>
          <w:sz w:val="32"/>
          <w:szCs w:val="32"/>
          <w:lang w:val="es-ES"/>
        </w:rPr>
        <w:t>la emerge</w:t>
      </w:r>
      <w:r>
        <w:rPr>
          <w:sz w:val="32"/>
          <w:szCs w:val="32"/>
          <w:lang w:val="es-ES"/>
        </w:rPr>
        <w:t>ncia</w:t>
      </w:r>
      <w:r w:rsidRPr="00D15996">
        <w:rPr>
          <w:sz w:val="32"/>
          <w:szCs w:val="32"/>
          <w:lang w:val="es-ES"/>
        </w:rPr>
        <w:t xml:space="preserve"> del </w:t>
      </w:r>
      <w:r w:rsidR="00676153" w:rsidRPr="00D15996">
        <w:rPr>
          <w:sz w:val="32"/>
          <w:szCs w:val="32"/>
          <w:lang w:val="es-ES"/>
        </w:rPr>
        <w:t xml:space="preserve">COVID 19 </w:t>
      </w:r>
    </w:p>
    <w:p w14:paraId="7F662CB2" w14:textId="781CDAEC" w:rsidR="00EA2AF0" w:rsidRPr="00D15996" w:rsidRDefault="00D15996" w:rsidP="0061219B">
      <w:pPr>
        <w:pStyle w:val="Header"/>
        <w:jc w:val="center"/>
        <w:rPr>
          <w:sz w:val="32"/>
          <w:szCs w:val="32"/>
          <w:lang w:val="es-ES"/>
        </w:rPr>
      </w:pPr>
      <w:r w:rsidRPr="00D15996">
        <w:rPr>
          <w:sz w:val="32"/>
          <w:szCs w:val="32"/>
          <w:lang w:val="es-ES"/>
        </w:rPr>
        <w:t xml:space="preserve">CONSEJOS </w:t>
      </w:r>
      <w:r w:rsidR="008A0643" w:rsidRPr="00D15996">
        <w:rPr>
          <w:sz w:val="32"/>
          <w:szCs w:val="32"/>
          <w:lang w:val="es-ES"/>
        </w:rPr>
        <w:t>-</w:t>
      </w:r>
      <w:r w:rsidRPr="00D15996">
        <w:rPr>
          <w:sz w:val="32"/>
          <w:szCs w:val="32"/>
          <w:lang w:val="es-ES"/>
        </w:rPr>
        <w:t xml:space="preserve"> PROCESO DE NEGOCIACIONES</w:t>
      </w:r>
      <w:r>
        <w:rPr>
          <w:sz w:val="32"/>
          <w:szCs w:val="32"/>
          <w:lang w:val="es-ES"/>
        </w:rPr>
        <w:t xml:space="preserve"> </w:t>
      </w:r>
      <w:r w:rsidR="00EA2AF0" w:rsidRPr="00D15996">
        <w:rPr>
          <w:sz w:val="32"/>
          <w:szCs w:val="32"/>
          <w:lang w:val="es-ES"/>
        </w:rPr>
        <w:t xml:space="preserve">- </w:t>
      </w:r>
      <w:r>
        <w:rPr>
          <w:sz w:val="32"/>
          <w:szCs w:val="32"/>
          <w:lang w:val="es-ES"/>
        </w:rPr>
        <w:t>BIENES</w:t>
      </w:r>
    </w:p>
    <w:p w14:paraId="190F66C6" w14:textId="77777777" w:rsidR="00470A33" w:rsidRPr="00D15996" w:rsidRDefault="00470A33" w:rsidP="00470A33">
      <w:pPr>
        <w:pStyle w:val="Header"/>
        <w:rPr>
          <w:b/>
          <w:sz w:val="28"/>
          <w:szCs w:val="28"/>
          <w:lang w:val="es-ES"/>
        </w:rPr>
      </w:pPr>
    </w:p>
    <w:tbl>
      <w:tblPr>
        <w:tblStyle w:val="TableGrid"/>
        <w:tblW w:w="13977" w:type="dxa"/>
        <w:tblInd w:w="-27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4205"/>
        <w:gridCol w:w="2640"/>
        <w:gridCol w:w="6594"/>
      </w:tblGrid>
      <w:tr w:rsidR="005556D0" w:rsidRPr="0012379F" w14:paraId="44881B93" w14:textId="77777777" w:rsidTr="00BB59DE">
        <w:trPr>
          <w:tblHeader/>
        </w:trPr>
        <w:tc>
          <w:tcPr>
            <w:tcW w:w="538" w:type="dxa"/>
            <w:shd w:val="clear" w:color="auto" w:fill="8496B0" w:themeFill="text2" w:themeFillTint="99"/>
          </w:tcPr>
          <w:p w14:paraId="7EE67113" w14:textId="77777777" w:rsidR="0061219B" w:rsidRPr="002F2688" w:rsidRDefault="0061219B" w:rsidP="00BB59DE">
            <w:pPr>
              <w:spacing w:before="40"/>
              <w:rPr>
                <w:rFonts w:cstheme="minorHAnsi"/>
                <w:b/>
                <w:color w:val="FFFFFF" w:themeColor="background1"/>
                <w:lang w:val="es-ES"/>
              </w:rPr>
            </w:pPr>
            <w:r w:rsidRPr="002F2688">
              <w:rPr>
                <w:rFonts w:cstheme="minorHAnsi"/>
                <w:b/>
                <w:color w:val="FFFFFF" w:themeColor="background1"/>
                <w:lang w:val="es-ES"/>
              </w:rPr>
              <w:t xml:space="preserve">No. </w:t>
            </w:r>
          </w:p>
        </w:tc>
        <w:tc>
          <w:tcPr>
            <w:tcW w:w="4587" w:type="dxa"/>
            <w:shd w:val="clear" w:color="auto" w:fill="8496B0" w:themeFill="text2" w:themeFillTint="99"/>
          </w:tcPr>
          <w:p w14:paraId="698CDA1D" w14:textId="758AA049" w:rsidR="0061219B" w:rsidRPr="002F2688" w:rsidRDefault="00D15996" w:rsidP="00BB59DE">
            <w:pPr>
              <w:rPr>
                <w:rFonts w:cstheme="minorHAnsi"/>
                <w:b/>
                <w:bCs/>
                <w:color w:val="FFFFFF" w:themeColor="background1"/>
                <w:lang w:val="es-ES"/>
              </w:rPr>
            </w:pPr>
            <w:r w:rsidRPr="002F2688">
              <w:rPr>
                <w:rFonts w:cstheme="minorHAnsi"/>
                <w:b/>
                <w:color w:val="FFFFFF" w:themeColor="background1"/>
                <w:lang w:val="es-ES"/>
              </w:rPr>
              <w:t>Asunto</w:t>
            </w:r>
          </w:p>
        </w:tc>
        <w:tc>
          <w:tcPr>
            <w:tcW w:w="1530" w:type="dxa"/>
            <w:shd w:val="clear" w:color="auto" w:fill="8496B0" w:themeFill="text2" w:themeFillTint="99"/>
          </w:tcPr>
          <w:p w14:paraId="5B98803F" w14:textId="15905AA0" w:rsidR="0061219B" w:rsidRPr="002F2688" w:rsidRDefault="00D15996" w:rsidP="00BB59DE">
            <w:pPr>
              <w:rPr>
                <w:rFonts w:cstheme="minorHAnsi"/>
                <w:color w:val="FFFFFF" w:themeColor="background1"/>
                <w:lang w:val="es-ES"/>
              </w:rPr>
            </w:pPr>
            <w:r w:rsidRPr="002F2688">
              <w:rPr>
                <w:rFonts w:cstheme="minorHAnsi"/>
                <w:b/>
                <w:color w:val="FFFFFF" w:themeColor="background1"/>
                <w:lang w:val="es-ES"/>
              </w:rPr>
              <w:t>Negociable</w:t>
            </w:r>
            <w:r w:rsidR="00147D80" w:rsidRPr="002F2688">
              <w:rPr>
                <w:rFonts w:cstheme="minorHAnsi"/>
                <w:b/>
                <w:color w:val="FFFFFF" w:themeColor="background1"/>
                <w:lang w:val="es-ES"/>
              </w:rPr>
              <w:t>(</w:t>
            </w:r>
            <w:r w:rsidRPr="002F2688">
              <w:rPr>
                <w:rFonts w:cstheme="minorHAnsi"/>
                <w:b/>
                <w:color w:val="FFFFFF" w:themeColor="background1"/>
                <w:lang w:val="es-ES"/>
              </w:rPr>
              <w:t>Si</w:t>
            </w:r>
            <w:r w:rsidR="00147D80" w:rsidRPr="002F2688">
              <w:rPr>
                <w:rFonts w:cstheme="minorHAnsi"/>
                <w:b/>
                <w:color w:val="FFFFFF" w:themeColor="background1"/>
                <w:lang w:val="es-ES"/>
              </w:rPr>
              <w:t>/No</w:t>
            </w:r>
            <w:r w:rsidR="00C07438" w:rsidRPr="002F2688">
              <w:rPr>
                <w:rFonts w:cstheme="minorHAnsi"/>
                <w:b/>
                <w:color w:val="FFFFFF" w:themeColor="background1"/>
                <w:lang w:val="es-ES"/>
              </w:rPr>
              <w:t>/</w:t>
            </w:r>
            <w:r w:rsidRPr="002F2688">
              <w:rPr>
                <w:rFonts w:cstheme="minorHAnsi"/>
                <w:b/>
                <w:color w:val="FFFFFF" w:themeColor="background1"/>
                <w:lang w:val="es-ES"/>
              </w:rPr>
              <w:t>Posible</w:t>
            </w:r>
            <w:r w:rsidR="00147D80" w:rsidRPr="002F2688">
              <w:rPr>
                <w:rFonts w:cstheme="minorHAnsi"/>
                <w:b/>
                <w:color w:val="FFFFFF" w:themeColor="background1"/>
                <w:lang w:val="es-ES"/>
              </w:rPr>
              <w:t>)</w:t>
            </w:r>
          </w:p>
        </w:tc>
        <w:tc>
          <w:tcPr>
            <w:tcW w:w="7322" w:type="dxa"/>
            <w:shd w:val="clear" w:color="auto" w:fill="8496B0" w:themeFill="text2" w:themeFillTint="99"/>
          </w:tcPr>
          <w:p w14:paraId="047CD871" w14:textId="060987CE" w:rsidR="0061219B" w:rsidRPr="005556D0" w:rsidRDefault="00D15996" w:rsidP="00BB59DE">
            <w:pPr>
              <w:rPr>
                <w:rFonts w:cstheme="minorHAnsi"/>
                <w:color w:val="FFFFFF" w:themeColor="background1"/>
                <w:lang w:val="es-ES"/>
              </w:rPr>
            </w:pPr>
            <w:r w:rsidRPr="005556D0">
              <w:rPr>
                <w:rFonts w:cstheme="minorHAnsi"/>
                <w:b/>
                <w:color w:val="FFFFFF" w:themeColor="background1"/>
                <w:lang w:val="es-ES"/>
              </w:rPr>
              <w:t>Observaciones</w:t>
            </w:r>
          </w:p>
        </w:tc>
      </w:tr>
      <w:tr w:rsidR="005556D0" w:rsidRPr="006C6629" w14:paraId="65007E33" w14:textId="77777777" w:rsidTr="00BB59DE">
        <w:trPr>
          <w:trHeight w:val="1898"/>
        </w:trPr>
        <w:tc>
          <w:tcPr>
            <w:tcW w:w="538" w:type="dxa"/>
            <w:tcBorders>
              <w:bottom w:val="single" w:sz="4" w:space="0" w:color="auto"/>
            </w:tcBorders>
          </w:tcPr>
          <w:p w14:paraId="3496BCE8" w14:textId="77777777" w:rsidR="0061219B" w:rsidRPr="002F2688" w:rsidRDefault="0061219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06901367" w14:textId="2AD784E8" w:rsidR="009C2732" w:rsidRPr="002F2688" w:rsidRDefault="00D15996" w:rsidP="00BB59DE">
            <w:pPr>
              <w:spacing w:before="80" w:after="8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Entrega</w:t>
            </w:r>
            <w:r w:rsidR="00147D80" w:rsidRPr="002F2688">
              <w:rPr>
                <w:rFonts w:cstheme="minorHAnsi"/>
                <w:b/>
                <w:lang w:val="es-ES"/>
              </w:rPr>
              <w:t xml:space="preserve">: </w:t>
            </w:r>
          </w:p>
          <w:p w14:paraId="304B9CA9" w14:textId="3CA7617B" w:rsidR="009C2732" w:rsidRPr="002F2688" w:rsidRDefault="002F2688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>Plazo de entrega</w:t>
            </w:r>
            <w:r w:rsidR="00147D80" w:rsidRPr="002F2688">
              <w:rPr>
                <w:rFonts w:cstheme="minorHAnsi"/>
                <w:lang w:val="es-ES"/>
              </w:rPr>
              <w:t xml:space="preserve">, </w:t>
            </w:r>
          </w:p>
          <w:p w14:paraId="42AD55AB" w14:textId="2392848A" w:rsidR="009C2732" w:rsidRPr="002F2688" w:rsidRDefault="002F2688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>entrega parcial</w:t>
            </w:r>
            <w:r w:rsidR="00147D80" w:rsidRPr="002F2688">
              <w:rPr>
                <w:rFonts w:cstheme="minorHAnsi"/>
                <w:lang w:val="es-ES"/>
              </w:rPr>
              <w:t xml:space="preserve">, </w:t>
            </w:r>
          </w:p>
          <w:p w14:paraId="32C48C85" w14:textId="05973962" w:rsidR="009C2732" w:rsidRPr="002F2688" w:rsidRDefault="002F2688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>obligación de transporte terrestre hasta el destino final es una opción,</w:t>
            </w:r>
          </w:p>
          <w:p w14:paraId="1B62529D" w14:textId="2A6FEF40" w:rsidR="0061219B" w:rsidRPr="002F2688" w:rsidRDefault="002F2688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>punto de entrega, etc.</w:t>
            </w:r>
          </w:p>
          <w:p w14:paraId="61009B13" w14:textId="0BE34F90" w:rsidR="008A0643" w:rsidRPr="002F2688" w:rsidRDefault="002F2688" w:rsidP="00BB59DE">
            <w:pPr>
              <w:pStyle w:val="ListParagraph"/>
              <w:numPr>
                <w:ilvl w:val="0"/>
                <w:numId w:val="7"/>
              </w:numPr>
              <w:spacing w:before="80" w:after="80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>opciones</w:t>
            </w:r>
            <w:r w:rsidR="008A0643" w:rsidRPr="002F2688">
              <w:rPr>
                <w:rFonts w:cstheme="minorHAnsi"/>
                <w:lang w:val="es-ES"/>
              </w:rPr>
              <w:t xml:space="preserve"> </w:t>
            </w:r>
            <w:r w:rsidRPr="002F2688">
              <w:rPr>
                <w:rFonts w:cstheme="minorHAnsi"/>
                <w:lang w:val="es-ES"/>
              </w:rPr>
              <w:t xml:space="preserve">de </w:t>
            </w:r>
            <w:r w:rsidR="008A0643" w:rsidRPr="002F2688">
              <w:rPr>
                <w:rFonts w:cstheme="minorHAnsi"/>
                <w:lang w:val="es-ES"/>
              </w:rPr>
              <w:t xml:space="preserve">CIP, FCA, EXW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BD8E239" w14:textId="706B7B7B" w:rsidR="00C07438" w:rsidRPr="002F2688" w:rsidRDefault="00D15996" w:rsidP="00BB59DE">
            <w:pPr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  <w:p w14:paraId="073150AE" w14:textId="06ECF753" w:rsidR="00C07438" w:rsidRPr="002F2688" w:rsidRDefault="00C07438" w:rsidP="00BB59DE">
            <w:pPr>
              <w:rPr>
                <w:rFonts w:cstheme="minorHAnsi"/>
                <w:lang w:val="es-ES"/>
              </w:rPr>
            </w:pPr>
          </w:p>
        </w:tc>
        <w:tc>
          <w:tcPr>
            <w:tcW w:w="7322" w:type="dxa"/>
          </w:tcPr>
          <w:p w14:paraId="0758CA32" w14:textId="4D91193A" w:rsidR="00C16D96" w:rsidRPr="005556D0" w:rsidRDefault="00C16D96" w:rsidP="00C16D96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>Algunos fabricantes /proveedores podrían no querer tener la responsabilidad de</w:t>
            </w:r>
            <w:r w:rsidR="005556D0">
              <w:rPr>
                <w:rFonts w:cstheme="minorHAnsi"/>
                <w:lang w:val="es-ES"/>
              </w:rPr>
              <w:t>l</w:t>
            </w:r>
            <w:r w:rsidRPr="005556D0">
              <w:rPr>
                <w:rFonts w:cstheme="minorHAnsi"/>
                <w:lang w:val="es-ES"/>
              </w:rPr>
              <w:t xml:space="preserve"> transport</w:t>
            </w:r>
            <w:r w:rsidR="005556D0">
              <w:rPr>
                <w:rFonts w:cstheme="minorHAnsi"/>
                <w:lang w:val="es-ES"/>
              </w:rPr>
              <w:t>e</w:t>
            </w:r>
            <w:r w:rsidRPr="005556D0">
              <w:rPr>
                <w:rFonts w:cstheme="minorHAnsi"/>
                <w:lang w:val="es-ES"/>
              </w:rPr>
              <w:t xml:space="preserve"> terrestre hasta el destino final (en este caso, el Comprador deberá u organizar su propios arreglos logísticos o contratar urgentemente compañías locales para </w:t>
            </w:r>
            <w:r w:rsidR="005556D0">
              <w:rPr>
                <w:rFonts w:cstheme="minorHAnsi"/>
                <w:lang w:val="es-ES"/>
              </w:rPr>
              <w:t xml:space="preserve">esa </w:t>
            </w:r>
            <w:r w:rsidRPr="005556D0">
              <w:rPr>
                <w:rFonts w:cstheme="minorHAnsi"/>
                <w:lang w:val="es-ES"/>
              </w:rPr>
              <w:t xml:space="preserve">logística) </w:t>
            </w:r>
          </w:p>
          <w:p w14:paraId="1EDB7ABE" w14:textId="2F677D7B" w:rsidR="00EA2AF0" w:rsidRPr="005556D0" w:rsidRDefault="00C16D96" w:rsidP="00C16D96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Si esta obligación resulta en un precio más alto, deberá analizarse el caso cuidadosamente para determinar qué es lo que mejor conviene </w:t>
            </w:r>
          </w:p>
        </w:tc>
      </w:tr>
      <w:tr w:rsidR="005556D0" w:rsidRPr="006C6629" w14:paraId="52A0DFF9" w14:textId="77777777" w:rsidTr="00BB59DE">
        <w:tc>
          <w:tcPr>
            <w:tcW w:w="538" w:type="dxa"/>
            <w:tcBorders>
              <w:bottom w:val="single" w:sz="4" w:space="0" w:color="auto"/>
            </w:tcBorders>
          </w:tcPr>
          <w:p w14:paraId="6755E213" w14:textId="77777777" w:rsidR="00BF085B" w:rsidRPr="00C16D96" w:rsidRDefault="00BF085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64CECE76" w14:textId="62F9E9E7" w:rsidR="00BF085B" w:rsidRPr="002F2688" w:rsidRDefault="000108B2" w:rsidP="00BB59DE">
            <w:pPr>
              <w:ind w:left="-20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Precio del Contrato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CD383B8" w14:textId="0607BF5B" w:rsidR="00BF085B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</w:tcPr>
          <w:p w14:paraId="0971178B" w14:textId="7A819810" w:rsidR="00BF085B" w:rsidRPr="005556D0" w:rsidRDefault="00C16D96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>Es conveniente disponer de algunos parámetros de precio</w:t>
            </w:r>
          </w:p>
        </w:tc>
      </w:tr>
      <w:tr w:rsidR="005556D0" w:rsidRPr="006C6629" w14:paraId="44060777" w14:textId="77777777" w:rsidTr="00BB59DE">
        <w:trPr>
          <w:trHeight w:val="1772"/>
        </w:trPr>
        <w:tc>
          <w:tcPr>
            <w:tcW w:w="538" w:type="dxa"/>
            <w:tcBorders>
              <w:bottom w:val="single" w:sz="4" w:space="0" w:color="auto"/>
            </w:tcBorders>
          </w:tcPr>
          <w:p w14:paraId="5EF646B0" w14:textId="77777777" w:rsidR="0061219B" w:rsidRPr="002F2688" w:rsidRDefault="0061219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2BF25D0E" w14:textId="45FE4E7F" w:rsidR="00B17821" w:rsidRPr="002F2688" w:rsidRDefault="002F2688" w:rsidP="00BB59DE">
            <w:pPr>
              <w:ind w:left="-20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Forma de pago</w:t>
            </w:r>
            <w:r w:rsidR="00147D80" w:rsidRPr="002F2688">
              <w:rPr>
                <w:rFonts w:cstheme="minorHAnsi"/>
                <w:b/>
                <w:lang w:val="es-ES"/>
              </w:rPr>
              <w:t xml:space="preserve">: </w:t>
            </w:r>
          </w:p>
          <w:p w14:paraId="7B15052B" w14:textId="6B6DD33E" w:rsidR="00B17821" w:rsidRPr="002F2688" w:rsidRDefault="000108B2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 xml:space="preserve">Uso de Carta de Crédito </w:t>
            </w:r>
          </w:p>
          <w:p w14:paraId="1422B8A0" w14:textId="57DAA1B6" w:rsidR="00C24C0D" w:rsidRPr="002F2688" w:rsidRDefault="000108B2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>Pago directo (preferido)</w:t>
            </w:r>
          </w:p>
          <w:p w14:paraId="5EE4E131" w14:textId="3B2434BA" w:rsidR="00C24C0D" w:rsidRPr="002F2688" w:rsidRDefault="000108B2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>Anticipo (hasta 40%)</w:t>
            </w:r>
          </w:p>
          <w:p w14:paraId="4DB33030" w14:textId="474D8288" w:rsidR="00C24C0D" w:rsidRPr="002F2688" w:rsidRDefault="000108B2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 xml:space="preserve">Sin garantía bancaria para el anticipo (hasta 10%) </w:t>
            </w:r>
          </w:p>
          <w:p w14:paraId="5DC55A36" w14:textId="6EE02B82" w:rsidR="0061219B" w:rsidRPr="002F2688" w:rsidRDefault="00147D80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>etc.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5BBAA30" w14:textId="45D26EC7" w:rsidR="0061219B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</w:tcPr>
          <w:p w14:paraId="02AF3FA9" w14:textId="5EB7B31A" w:rsidR="008A0643" w:rsidRPr="005556D0" w:rsidRDefault="005556D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>moneda: seleccionada por el proveedor</w:t>
            </w:r>
          </w:p>
          <w:p w14:paraId="4FEEB018" w14:textId="47110FDC" w:rsidR="00C16D96" w:rsidRPr="00C16D96" w:rsidRDefault="00C16D96" w:rsidP="00C16D96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b/>
                <w:lang w:val="es-ES"/>
              </w:rPr>
            </w:pPr>
            <w:r w:rsidRPr="00C16D96">
              <w:rPr>
                <w:rFonts w:cstheme="minorHAnsi"/>
                <w:b/>
                <w:lang w:val="es-ES"/>
              </w:rPr>
              <w:t xml:space="preserve">Se deben realizar esfuerzos para reducir la percepción del riesgo del proveedor (particularmente </w:t>
            </w:r>
            <w:r w:rsidR="005556D0">
              <w:rPr>
                <w:rFonts w:cstheme="minorHAnsi"/>
                <w:b/>
                <w:lang w:val="es-ES"/>
              </w:rPr>
              <w:t xml:space="preserve">en </w:t>
            </w:r>
            <w:r w:rsidRPr="00C16D96">
              <w:rPr>
                <w:rFonts w:cstheme="minorHAnsi"/>
                <w:b/>
                <w:lang w:val="es-ES"/>
              </w:rPr>
              <w:t xml:space="preserve">el suministro de bienes desde el extranjero en ausencia de una carta de crédito). Esto puede ocasionar que se realice algún </w:t>
            </w:r>
            <w:r w:rsidR="008A6829" w:rsidRPr="005556D0">
              <w:rPr>
                <w:rFonts w:cstheme="minorHAnsi"/>
                <w:b/>
                <w:lang w:val="es-ES"/>
              </w:rPr>
              <w:t>anticipo</w:t>
            </w:r>
            <w:r w:rsidRPr="00C16D96">
              <w:rPr>
                <w:rFonts w:cstheme="minorHAnsi"/>
                <w:b/>
                <w:lang w:val="es-ES"/>
              </w:rPr>
              <w:t xml:space="preserve"> sin una garantía equivalente y / o pagos por adelantado más altos de lo normal. Podría haber un límite en el que el riesgo para el Comprador podría ser insostenible, pero </w:t>
            </w:r>
            <w:r w:rsidR="005556D0">
              <w:rPr>
                <w:rFonts w:cstheme="minorHAnsi"/>
                <w:b/>
                <w:lang w:val="es-ES"/>
              </w:rPr>
              <w:t xml:space="preserve">esto debe </w:t>
            </w:r>
            <w:r w:rsidR="008A6829" w:rsidRPr="005556D0">
              <w:rPr>
                <w:rFonts w:cstheme="minorHAnsi"/>
                <w:b/>
                <w:lang w:val="es-ES"/>
              </w:rPr>
              <w:t>resolverse mediante</w:t>
            </w:r>
            <w:r w:rsidRPr="00C16D96">
              <w:rPr>
                <w:rFonts w:cstheme="minorHAnsi"/>
                <w:b/>
                <w:lang w:val="es-ES"/>
              </w:rPr>
              <w:t xml:space="preserve"> una </w:t>
            </w:r>
            <w:r w:rsidR="008A6829" w:rsidRPr="005556D0">
              <w:rPr>
                <w:rFonts w:cstheme="minorHAnsi"/>
                <w:b/>
                <w:lang w:val="es-ES"/>
              </w:rPr>
              <w:t xml:space="preserve">negociación </w:t>
            </w:r>
            <w:r w:rsidRPr="00C16D96">
              <w:rPr>
                <w:rFonts w:cstheme="minorHAnsi"/>
                <w:b/>
                <w:lang w:val="es-ES"/>
              </w:rPr>
              <w:t>razonable.</w:t>
            </w:r>
          </w:p>
          <w:p w14:paraId="3B7CF66A" w14:textId="755AC15E" w:rsidR="0061219B" w:rsidRPr="005556D0" w:rsidRDefault="0061219B" w:rsidP="008A6829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</w:p>
        </w:tc>
      </w:tr>
      <w:tr w:rsidR="005556D0" w:rsidRPr="006C6629" w14:paraId="5562D184" w14:textId="77777777" w:rsidTr="00BB59DE">
        <w:tc>
          <w:tcPr>
            <w:tcW w:w="538" w:type="dxa"/>
            <w:tcBorders>
              <w:top w:val="single" w:sz="4" w:space="0" w:color="auto"/>
            </w:tcBorders>
          </w:tcPr>
          <w:p w14:paraId="6B8EE866" w14:textId="77777777" w:rsidR="00024C89" w:rsidRPr="002F2688" w:rsidRDefault="00024C89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lang w:val="es-ES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7FE89650" w14:textId="69E584E2" w:rsidR="00C24C0D" w:rsidRPr="002F2688" w:rsidRDefault="000108B2" w:rsidP="00BB59DE">
            <w:pPr>
              <w:ind w:left="-20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Garantía de cumplimiento del contrato</w:t>
            </w:r>
          </w:p>
          <w:p w14:paraId="64768082" w14:textId="70C3EC52" w:rsidR="00024C89" w:rsidRPr="002F2688" w:rsidRDefault="002F2688" w:rsidP="00BB59D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lang w:val="es-ES"/>
              </w:rPr>
              <w:t>Normalmente</w:t>
            </w:r>
            <w:r w:rsidR="000108B2" w:rsidRPr="002F2688">
              <w:rPr>
                <w:rFonts w:cstheme="minorHAnsi"/>
                <w:lang w:val="es-ES"/>
              </w:rPr>
              <w:t xml:space="preserve"> no requerida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12CEF97" w14:textId="690DB83D" w:rsidR="00024C89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</w:tcPr>
          <w:p w14:paraId="23F05111" w14:textId="0555420E" w:rsidR="00024C89" w:rsidRPr="005556D0" w:rsidRDefault="008A6829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b/>
                <w:lang w:val="es-ES"/>
              </w:rPr>
              <w:t xml:space="preserve">No debería requerirse </w:t>
            </w:r>
            <w:r w:rsidRPr="005556D0">
              <w:rPr>
                <w:rFonts w:cstheme="minorHAnsi"/>
                <w:bCs/>
                <w:lang w:val="es-ES"/>
              </w:rPr>
              <w:t>debido al tiempo y al esfuerzo que demanda su presentación tomando en cuenta la situación de emergencia</w:t>
            </w:r>
          </w:p>
        </w:tc>
      </w:tr>
      <w:tr w:rsidR="005556D0" w:rsidRPr="006C6629" w14:paraId="33161F57" w14:textId="77777777" w:rsidTr="006C6629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374B8AB4" w14:textId="77777777" w:rsidR="00024C89" w:rsidRPr="008A6829" w:rsidRDefault="00024C89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lang w:val="es-ES"/>
              </w:rPr>
            </w:pPr>
          </w:p>
        </w:tc>
        <w:tc>
          <w:tcPr>
            <w:tcW w:w="4587" w:type="dxa"/>
            <w:tcBorders>
              <w:top w:val="single" w:sz="4" w:space="0" w:color="auto"/>
              <w:bottom w:val="single" w:sz="4" w:space="0" w:color="auto"/>
            </w:tcBorders>
          </w:tcPr>
          <w:p w14:paraId="6814E9FD" w14:textId="18997DDE" w:rsidR="00024C89" w:rsidRPr="002F2688" w:rsidRDefault="000108B2" w:rsidP="00BB59DE">
            <w:pPr>
              <w:ind w:left="-20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Ley que gobierna el contrato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05617D82" w14:textId="2BF11531" w:rsidR="00024C89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08189B9A" w14:textId="7A471ED6" w:rsidR="00024C89" w:rsidRPr="005556D0" w:rsidRDefault="008A6829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Normalmente debería </w:t>
            </w:r>
            <w:r w:rsidR="005556D0">
              <w:rPr>
                <w:rFonts w:cstheme="minorHAnsi"/>
                <w:lang w:val="es-ES"/>
              </w:rPr>
              <w:t xml:space="preserve">ser </w:t>
            </w:r>
            <w:r w:rsidRPr="005556D0">
              <w:rPr>
                <w:rFonts w:cstheme="minorHAnsi"/>
                <w:lang w:val="es-ES"/>
              </w:rPr>
              <w:t>la ley del País del Comprador. Algunos fabricantes / proveedores que hacen entregas al país por primera vez preferían otras leyes, por ej. de Suiza, o del Reino Unido y esto</w:t>
            </w:r>
            <w:r w:rsidR="00024C89" w:rsidRPr="005556D0">
              <w:rPr>
                <w:rFonts w:cstheme="minorHAnsi"/>
                <w:lang w:val="es-ES"/>
              </w:rPr>
              <w:t xml:space="preserve"> </w:t>
            </w:r>
            <w:r w:rsidRPr="005556D0">
              <w:rPr>
                <w:rFonts w:cstheme="minorHAnsi"/>
                <w:lang w:val="es-ES"/>
              </w:rPr>
              <w:t>puede ser considerado</w:t>
            </w:r>
          </w:p>
        </w:tc>
      </w:tr>
      <w:tr w:rsidR="005556D0" w:rsidRPr="006C6629" w14:paraId="47437769" w14:textId="77777777" w:rsidTr="006C662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ED0A" w14:textId="77777777" w:rsidR="00024C89" w:rsidRPr="002F2688" w:rsidRDefault="00024C89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lang w:val="es-E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8CEB" w14:textId="5F65CD45" w:rsidR="00024C89" w:rsidRPr="002F2688" w:rsidRDefault="000108B2" w:rsidP="00BB59DE">
            <w:pPr>
              <w:ind w:left="-20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Resolución de disputas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0FFA" w14:textId="6FDCAA23" w:rsidR="00024C89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65B" w14:textId="17EDB65C" w:rsidR="00024C89" w:rsidRPr="005556D0" w:rsidRDefault="003C196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El mecanismo que se proporciona en le formulario de contrato es razonable y es </w:t>
            </w:r>
            <w:r w:rsidR="005556D0" w:rsidRPr="005556D0">
              <w:rPr>
                <w:rFonts w:cstheme="minorHAnsi"/>
                <w:lang w:val="es-ES"/>
              </w:rPr>
              <w:t>posible</w:t>
            </w:r>
            <w:r w:rsidRPr="005556D0">
              <w:rPr>
                <w:rFonts w:cstheme="minorHAnsi"/>
                <w:lang w:val="es-ES"/>
              </w:rPr>
              <w:t xml:space="preserve"> que los proveedores no tengan </w:t>
            </w:r>
            <w:r w:rsidR="005556D0">
              <w:rPr>
                <w:rFonts w:cstheme="minorHAnsi"/>
                <w:lang w:val="es-ES"/>
              </w:rPr>
              <w:t xml:space="preserve">ningún </w:t>
            </w:r>
            <w:r w:rsidRPr="005556D0">
              <w:rPr>
                <w:rFonts w:cstheme="minorHAnsi"/>
                <w:lang w:val="es-ES"/>
              </w:rPr>
              <w:lastRenderedPageBreak/>
              <w:t>problema con ese mecanismo. Se puede negociar siempre y cuando un proveedor extranjero no quede sujeto a los mecanismo de arbitraje del país del Comprador.</w:t>
            </w:r>
            <w:r w:rsidR="00BF085B" w:rsidRPr="005556D0">
              <w:rPr>
                <w:rFonts w:cstheme="minorHAnsi"/>
                <w:lang w:val="es-ES"/>
              </w:rPr>
              <w:t xml:space="preserve"> </w:t>
            </w:r>
            <w:r w:rsidRPr="005556D0">
              <w:rPr>
                <w:rFonts w:cstheme="minorHAnsi"/>
                <w:lang w:val="es-ES"/>
              </w:rPr>
              <w:t xml:space="preserve">Caso contrario, se podría crear una percepción justificada de riesgo al  Proveedor. </w:t>
            </w:r>
          </w:p>
        </w:tc>
      </w:tr>
      <w:tr w:rsidR="005556D0" w:rsidRPr="006C6629" w14:paraId="14FD2AA5" w14:textId="77777777" w:rsidTr="006C6629">
        <w:tc>
          <w:tcPr>
            <w:tcW w:w="538" w:type="dxa"/>
            <w:tcBorders>
              <w:top w:val="single" w:sz="4" w:space="0" w:color="auto"/>
            </w:tcBorders>
          </w:tcPr>
          <w:p w14:paraId="5EA885F3" w14:textId="77777777" w:rsidR="00BF085B" w:rsidRPr="002F2688" w:rsidRDefault="00BF085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lang w:val="es-ES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0227AC33" w14:textId="097EE684" w:rsidR="00BF085B" w:rsidRPr="002F2688" w:rsidRDefault="000108B2" w:rsidP="00BB59DE">
            <w:pPr>
              <w:ind w:left="-20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Impuestos y tasas</w:t>
            </w:r>
            <w:r w:rsidR="00BF085B" w:rsidRPr="002F2688">
              <w:rPr>
                <w:rFonts w:cstheme="minorHAnsi"/>
                <w:b/>
                <w:lang w:val="es-ES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4705C9BD" w14:textId="055AA11F" w:rsidR="00BF085B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</w:t>
            </w:r>
            <w:r w:rsidR="000108B2" w:rsidRPr="002F2688">
              <w:rPr>
                <w:rFonts w:cstheme="minorHAnsi"/>
                <w:b/>
                <w:lang w:val="es-ES"/>
              </w:rPr>
              <w:t>i</w:t>
            </w:r>
          </w:p>
        </w:tc>
        <w:tc>
          <w:tcPr>
            <w:tcW w:w="7322" w:type="dxa"/>
            <w:tcBorders>
              <w:top w:val="single" w:sz="4" w:space="0" w:color="auto"/>
            </w:tcBorders>
          </w:tcPr>
          <w:p w14:paraId="44192DC1" w14:textId="53100DFB" w:rsidR="00BF085B" w:rsidRPr="005556D0" w:rsidRDefault="003C1960" w:rsidP="003C1960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3C1960">
              <w:rPr>
                <w:rFonts w:cstheme="minorHAnsi"/>
                <w:lang w:val="es-ES"/>
              </w:rPr>
              <w:t xml:space="preserve">El formulario del contrato contempla CIP para bienes del extranjero, es decir, los derechos de aduana y otros impuestos en el país del Comprador no son responsabilidad del Proveedor. </w:t>
            </w:r>
            <w:r w:rsidRPr="003C1960">
              <w:rPr>
                <w:rFonts w:cstheme="minorHAnsi"/>
                <w:b/>
                <w:bCs/>
                <w:lang w:val="es-ES"/>
              </w:rPr>
              <w:t xml:space="preserve">No se </w:t>
            </w:r>
            <w:r w:rsidRPr="005556D0">
              <w:rPr>
                <w:rFonts w:cstheme="minorHAnsi"/>
                <w:b/>
                <w:bCs/>
                <w:lang w:val="es-ES"/>
              </w:rPr>
              <w:t xml:space="preserve">deberá imponer al proveedor </w:t>
            </w:r>
            <w:r w:rsidRPr="003C1960">
              <w:rPr>
                <w:rFonts w:cstheme="minorHAnsi"/>
                <w:b/>
                <w:bCs/>
                <w:lang w:val="es-ES"/>
              </w:rPr>
              <w:t xml:space="preserve">cubrir dichos costos. El Comprador deberá hacer los arreglos necesarios con las autoridades aduaneras para despachar los </w:t>
            </w:r>
            <w:r w:rsidRPr="005556D0">
              <w:rPr>
                <w:rFonts w:cstheme="minorHAnsi"/>
                <w:b/>
                <w:bCs/>
                <w:lang w:val="es-ES"/>
              </w:rPr>
              <w:t>bienes</w:t>
            </w:r>
            <w:r w:rsidRPr="003C1960">
              <w:rPr>
                <w:rFonts w:cstheme="minorHAnsi"/>
                <w:b/>
                <w:bCs/>
                <w:lang w:val="es-ES"/>
              </w:rPr>
              <w:t xml:space="preserve"> </w:t>
            </w:r>
            <w:r w:rsidRPr="005556D0">
              <w:rPr>
                <w:rFonts w:cstheme="minorHAnsi"/>
                <w:b/>
                <w:bCs/>
                <w:lang w:val="es-ES"/>
              </w:rPr>
              <w:t xml:space="preserve">para combatir el </w:t>
            </w:r>
            <w:r w:rsidRPr="003C1960">
              <w:rPr>
                <w:rFonts w:cstheme="minorHAnsi"/>
                <w:b/>
                <w:bCs/>
                <w:lang w:val="es-ES"/>
              </w:rPr>
              <w:t>COVID-19 de manera expedita.</w:t>
            </w:r>
          </w:p>
        </w:tc>
      </w:tr>
      <w:tr w:rsidR="005556D0" w:rsidRPr="006C6629" w14:paraId="5AA39515" w14:textId="77777777" w:rsidTr="00BB59DE">
        <w:tc>
          <w:tcPr>
            <w:tcW w:w="538" w:type="dxa"/>
            <w:tcBorders>
              <w:top w:val="single" w:sz="4" w:space="0" w:color="auto"/>
            </w:tcBorders>
          </w:tcPr>
          <w:p w14:paraId="36593A98" w14:textId="77777777" w:rsidR="0061219B" w:rsidRPr="002F2688" w:rsidRDefault="0061219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lang w:val="es-ES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1829B54F" w14:textId="3C710B2D" w:rsidR="0061219B" w:rsidRPr="002F2688" w:rsidRDefault="000108B2" w:rsidP="00BB59DE">
            <w:pPr>
              <w:ind w:left="-20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Especificaciones Técnicas (calidad)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0F2FD8FB" w14:textId="2C0F6D7F" w:rsidR="0061219B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</w:tcPr>
          <w:p w14:paraId="1FFBA142" w14:textId="0F99D301" w:rsidR="0061219B" w:rsidRPr="005556D0" w:rsidRDefault="003C196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b/>
                <w:lang w:val="es-ES"/>
              </w:rPr>
            </w:pPr>
            <w:r w:rsidRPr="005556D0">
              <w:rPr>
                <w:rFonts w:cstheme="minorHAnsi"/>
                <w:b/>
                <w:lang w:val="es-ES"/>
              </w:rPr>
              <w:t xml:space="preserve">Siempre que se apliquen y mantengan estándares industriales (como los de la OMS) </w:t>
            </w:r>
            <w:r w:rsidRPr="005556D0">
              <w:rPr>
                <w:rFonts w:cstheme="minorHAnsi"/>
                <w:bCs/>
                <w:lang w:val="es-ES"/>
              </w:rPr>
              <w:t>y</w:t>
            </w:r>
          </w:p>
          <w:p w14:paraId="39A3C404" w14:textId="2A80417E" w:rsidR="00C24C0D" w:rsidRPr="005556D0" w:rsidRDefault="003C196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se alcancen los requisitos funcionales mínimos </w:t>
            </w:r>
          </w:p>
        </w:tc>
      </w:tr>
      <w:tr w:rsidR="005556D0" w:rsidRPr="005556D0" w14:paraId="1C8C3AB7" w14:textId="77777777" w:rsidTr="00BB59DE">
        <w:tc>
          <w:tcPr>
            <w:tcW w:w="538" w:type="dxa"/>
          </w:tcPr>
          <w:p w14:paraId="3F369A05" w14:textId="77777777" w:rsidR="00CB5D2C" w:rsidRPr="002F2688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</w:tcPr>
          <w:p w14:paraId="2CBF819E" w14:textId="39D8EC6E" w:rsidR="00CB5D2C" w:rsidRPr="002F2688" w:rsidRDefault="000108B2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Pruebas e inspecciones</w:t>
            </w:r>
          </w:p>
        </w:tc>
        <w:tc>
          <w:tcPr>
            <w:tcW w:w="1530" w:type="dxa"/>
          </w:tcPr>
          <w:p w14:paraId="49DC4F08" w14:textId="65E5E634" w:rsidR="00CB5D2C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</w:tcPr>
          <w:p w14:paraId="23D0CE6F" w14:textId="1F87BD35" w:rsidR="00CB5D2C" w:rsidRPr="005556D0" w:rsidRDefault="003C196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aplicando </w:t>
            </w:r>
            <w:r w:rsidR="005556D0" w:rsidRPr="005556D0">
              <w:rPr>
                <w:rFonts w:cstheme="minorHAnsi"/>
                <w:lang w:val="es-ES"/>
              </w:rPr>
              <w:t xml:space="preserve">estándares reconocidos </w:t>
            </w:r>
          </w:p>
        </w:tc>
      </w:tr>
      <w:tr w:rsidR="005556D0" w:rsidRPr="006C6629" w14:paraId="7102D393" w14:textId="77777777" w:rsidTr="00BB59DE">
        <w:tc>
          <w:tcPr>
            <w:tcW w:w="538" w:type="dxa"/>
          </w:tcPr>
          <w:p w14:paraId="7B2A5DFE" w14:textId="77777777" w:rsidR="00613A52" w:rsidRPr="002F2688" w:rsidRDefault="00613A52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</w:tcPr>
          <w:p w14:paraId="2364DB34" w14:textId="007849F1" w:rsidR="00613A52" w:rsidRPr="002F2688" w:rsidRDefault="002F2688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 xml:space="preserve">Autorización del </w:t>
            </w:r>
            <w:r w:rsidR="005556D0">
              <w:rPr>
                <w:rFonts w:cstheme="minorHAnsi"/>
                <w:b/>
                <w:lang w:val="es-ES"/>
              </w:rPr>
              <w:t>F</w:t>
            </w:r>
            <w:r w:rsidRPr="002F2688">
              <w:rPr>
                <w:rFonts w:cstheme="minorHAnsi"/>
                <w:b/>
                <w:lang w:val="es-ES"/>
              </w:rPr>
              <w:t xml:space="preserve">abricante (para proveedores que no fabrica los Bienes) </w:t>
            </w:r>
          </w:p>
        </w:tc>
        <w:tc>
          <w:tcPr>
            <w:tcW w:w="1530" w:type="dxa"/>
          </w:tcPr>
          <w:p w14:paraId="6F3A0C2A" w14:textId="2AE713CC" w:rsidR="00613A52" w:rsidRPr="002F2688" w:rsidRDefault="00613A52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 xml:space="preserve">No </w:t>
            </w:r>
          </w:p>
        </w:tc>
        <w:tc>
          <w:tcPr>
            <w:tcW w:w="7322" w:type="dxa"/>
          </w:tcPr>
          <w:p w14:paraId="20F1A2E4" w14:textId="1A83ECA2" w:rsidR="00613A52" w:rsidRPr="005556D0" w:rsidRDefault="005556D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contextualSpacing w:val="0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Debe examinarse cuidadosamente las circunstancias y condiciones del mercado que obligan a este requisito </w:t>
            </w:r>
          </w:p>
        </w:tc>
      </w:tr>
      <w:tr w:rsidR="005556D0" w:rsidRPr="006C6629" w14:paraId="7BF57A1E" w14:textId="77777777" w:rsidTr="00BB59DE">
        <w:tc>
          <w:tcPr>
            <w:tcW w:w="538" w:type="dxa"/>
          </w:tcPr>
          <w:p w14:paraId="691D569A" w14:textId="77777777" w:rsidR="00BF085B" w:rsidRPr="005556D0" w:rsidRDefault="00BF085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</w:tcPr>
          <w:p w14:paraId="25903BE5" w14:textId="3A59A2D3" w:rsidR="00BF085B" w:rsidRPr="002F2688" w:rsidRDefault="002F2688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Empaque, rótulos, etc.</w:t>
            </w:r>
          </w:p>
        </w:tc>
        <w:tc>
          <w:tcPr>
            <w:tcW w:w="1530" w:type="dxa"/>
          </w:tcPr>
          <w:p w14:paraId="295693E3" w14:textId="5C7900E6" w:rsidR="00BF085B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</w:tcPr>
          <w:p w14:paraId="7974412E" w14:textId="7A3B1063" w:rsidR="00BF085B" w:rsidRPr="005556D0" w:rsidRDefault="005556D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de conformidad con los estándares aplicables </w:t>
            </w:r>
          </w:p>
        </w:tc>
      </w:tr>
      <w:tr w:rsidR="005556D0" w:rsidRPr="006C6629" w14:paraId="107E0ED0" w14:textId="77777777" w:rsidTr="00BB59DE">
        <w:tc>
          <w:tcPr>
            <w:tcW w:w="538" w:type="dxa"/>
          </w:tcPr>
          <w:p w14:paraId="509B3958" w14:textId="77777777" w:rsidR="0061219B" w:rsidRPr="002F2688" w:rsidRDefault="0061219B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</w:tcPr>
          <w:p w14:paraId="6DF3C254" w14:textId="7C8546CD" w:rsidR="0061219B" w:rsidRPr="002F2688" w:rsidRDefault="000108B2" w:rsidP="00BB59DE">
            <w:pPr>
              <w:spacing w:before="40" w:after="40"/>
              <w:ind w:left="-14"/>
              <w:rPr>
                <w:rFonts w:cstheme="minorHAnsi"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Seguros</w:t>
            </w:r>
          </w:p>
        </w:tc>
        <w:tc>
          <w:tcPr>
            <w:tcW w:w="1530" w:type="dxa"/>
          </w:tcPr>
          <w:p w14:paraId="639D7662" w14:textId="38466212" w:rsidR="0061219B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</w:tcPr>
          <w:p w14:paraId="2AD38ABC" w14:textId="78519788" w:rsidR="0061219B" w:rsidRPr="005556D0" w:rsidRDefault="005556D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El formulario de contrato proporciona dos opciones. </w:t>
            </w:r>
            <w:r>
              <w:rPr>
                <w:rFonts w:cstheme="minorHAnsi"/>
                <w:lang w:val="es-ES"/>
              </w:rPr>
              <w:t>L</w:t>
            </w:r>
            <w:r w:rsidRPr="005556D0">
              <w:rPr>
                <w:rFonts w:cstheme="minorHAnsi"/>
                <w:lang w:val="es-ES"/>
              </w:rPr>
              <w:t>a primera es de conformidad con los Incoterms. Los Proveedores normalmente se sienten mejor protegidos con las coberturas de seguro según los Incoterms aplicables.</w:t>
            </w:r>
          </w:p>
        </w:tc>
      </w:tr>
      <w:tr w:rsidR="005556D0" w:rsidRPr="006C6629" w14:paraId="075F31E5" w14:textId="77777777" w:rsidTr="00BB59DE">
        <w:tc>
          <w:tcPr>
            <w:tcW w:w="538" w:type="dxa"/>
          </w:tcPr>
          <w:p w14:paraId="70506E70" w14:textId="77777777" w:rsidR="00CB5D2C" w:rsidRPr="002F2688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</w:tcPr>
          <w:p w14:paraId="58A9B021" w14:textId="1A398769" w:rsidR="00CB5D2C" w:rsidRPr="002F2688" w:rsidRDefault="002F2688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Indemnización por demora y bonificaciones</w:t>
            </w:r>
          </w:p>
        </w:tc>
        <w:tc>
          <w:tcPr>
            <w:tcW w:w="1530" w:type="dxa"/>
          </w:tcPr>
          <w:p w14:paraId="00D6BC22" w14:textId="6F7C065E" w:rsidR="00CB5D2C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</w:tcPr>
          <w:p w14:paraId="48FC052C" w14:textId="22B3705C" w:rsidR="00CB5D2C" w:rsidRPr="005556D0" w:rsidRDefault="00CB5D2C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b/>
                <w:lang w:val="es-ES"/>
              </w:rPr>
            </w:pPr>
            <w:r w:rsidRPr="005556D0">
              <w:rPr>
                <w:rFonts w:cstheme="minorHAnsi"/>
                <w:b/>
                <w:lang w:val="es-ES"/>
              </w:rPr>
              <w:t xml:space="preserve"> </w:t>
            </w:r>
            <w:r w:rsidR="005556D0" w:rsidRPr="005556D0">
              <w:rPr>
                <w:rFonts w:cstheme="minorHAnsi"/>
                <w:bCs/>
                <w:lang w:val="es-ES"/>
              </w:rPr>
              <w:t>Bonificaciones</w:t>
            </w:r>
            <w:r w:rsidR="005556D0" w:rsidRPr="005556D0">
              <w:rPr>
                <w:rFonts w:cstheme="minorHAnsi"/>
                <w:b/>
                <w:lang w:val="es-ES"/>
              </w:rPr>
              <w:t xml:space="preserve"> pueden ser utilizadas para acelerar las entregas </w:t>
            </w:r>
          </w:p>
        </w:tc>
      </w:tr>
      <w:tr w:rsidR="005556D0" w:rsidRPr="006C6629" w14:paraId="03F65D1E" w14:textId="77777777" w:rsidTr="00BB59DE">
        <w:tc>
          <w:tcPr>
            <w:tcW w:w="538" w:type="dxa"/>
          </w:tcPr>
          <w:p w14:paraId="6D737618" w14:textId="77777777" w:rsidR="00CB5D2C" w:rsidRPr="002F2688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</w:tcPr>
          <w:p w14:paraId="01867487" w14:textId="7559B363" w:rsidR="00CB5D2C" w:rsidRPr="002F2688" w:rsidRDefault="00D15996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Garantía</w:t>
            </w:r>
            <w:r w:rsidR="00C16D96">
              <w:rPr>
                <w:rFonts w:cstheme="minorHAnsi"/>
                <w:b/>
                <w:lang w:val="es-ES"/>
              </w:rPr>
              <w:t xml:space="preserve"> de los bienes</w:t>
            </w:r>
          </w:p>
        </w:tc>
        <w:tc>
          <w:tcPr>
            <w:tcW w:w="1530" w:type="dxa"/>
          </w:tcPr>
          <w:p w14:paraId="1E31119F" w14:textId="5B567740" w:rsidR="00CB5D2C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Si</w:t>
            </w:r>
          </w:p>
        </w:tc>
        <w:tc>
          <w:tcPr>
            <w:tcW w:w="7322" w:type="dxa"/>
          </w:tcPr>
          <w:p w14:paraId="5B7DCB8A" w14:textId="155F550A" w:rsidR="00CB5D2C" w:rsidRPr="005556D0" w:rsidRDefault="005556D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>El formulario de contrato requiere que se llene el período de garantía de los bienes de conformidad con la práctica industrial aplicable.</w:t>
            </w:r>
            <w:r w:rsidR="00CB5D2C" w:rsidRPr="005556D0">
              <w:rPr>
                <w:rFonts w:cstheme="minorHAnsi"/>
                <w:lang w:val="es-ES"/>
              </w:rPr>
              <w:t xml:space="preserve"> </w:t>
            </w:r>
          </w:p>
        </w:tc>
      </w:tr>
      <w:tr w:rsidR="005556D0" w:rsidRPr="006C6629" w14:paraId="62265E1B" w14:textId="77777777" w:rsidTr="006C6629">
        <w:tc>
          <w:tcPr>
            <w:tcW w:w="538" w:type="dxa"/>
            <w:tcBorders>
              <w:bottom w:val="single" w:sz="4" w:space="0" w:color="auto"/>
            </w:tcBorders>
          </w:tcPr>
          <w:p w14:paraId="60E5F36A" w14:textId="77777777" w:rsidR="00CB5D2C" w:rsidRPr="005556D0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70B812C8" w14:textId="7C0ACEA3" w:rsidR="00CB5D2C" w:rsidRPr="002F2688" w:rsidRDefault="00D15996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 xml:space="preserve">Derechos </w:t>
            </w:r>
            <w:r w:rsidR="005556D0">
              <w:rPr>
                <w:rFonts w:cstheme="minorHAnsi"/>
                <w:b/>
                <w:lang w:val="es-ES"/>
              </w:rPr>
              <w:t>industriales y de autoría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B5645C" w14:textId="65533EE1" w:rsidR="00CB5D2C" w:rsidRPr="002F2688" w:rsidRDefault="00CB5D2C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No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29D8183B" w14:textId="42719E3A" w:rsidR="00CB5D2C" w:rsidRPr="005556D0" w:rsidRDefault="005556D0" w:rsidP="005556D0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Se deben proteger los derechos industriales y derechos de autoría de los proveedores </w:t>
            </w:r>
          </w:p>
        </w:tc>
      </w:tr>
      <w:tr w:rsidR="005556D0" w:rsidRPr="006C6629" w14:paraId="471CBD3A" w14:textId="77777777" w:rsidTr="006C662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131" w14:textId="77777777" w:rsidR="00CB5D2C" w:rsidRPr="002F2688" w:rsidRDefault="00CB5D2C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E432" w14:textId="7697EE1E" w:rsidR="00CB5D2C" w:rsidRPr="002F2688" w:rsidRDefault="00D15996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Limitaci</w:t>
            </w:r>
            <w:r w:rsidR="000108B2" w:rsidRPr="002F2688">
              <w:rPr>
                <w:rFonts w:cstheme="minorHAnsi"/>
                <w:b/>
                <w:lang w:val="es-ES"/>
              </w:rPr>
              <w:t>ó</w:t>
            </w:r>
            <w:r w:rsidRPr="002F2688">
              <w:rPr>
                <w:rFonts w:cstheme="minorHAnsi"/>
                <w:b/>
                <w:lang w:val="es-ES"/>
              </w:rPr>
              <w:t xml:space="preserve">n de la </w:t>
            </w:r>
            <w:r w:rsidR="002F2688" w:rsidRPr="002F2688">
              <w:rPr>
                <w:rFonts w:cstheme="minorHAnsi"/>
                <w:b/>
                <w:lang w:val="es-ES"/>
              </w:rPr>
              <w:t>responsabilidad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8E8" w14:textId="7DB4051F" w:rsidR="00CB5D2C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Posible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C3C" w14:textId="5177CC67" w:rsidR="00CB5D2C" w:rsidRPr="005556D0" w:rsidRDefault="005556D0" w:rsidP="005556D0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No obstante, las estipulaciones en el formulario de contrato son bastante balanceadas y posiblemente no requieren negociaciones. </w:t>
            </w:r>
          </w:p>
        </w:tc>
      </w:tr>
      <w:tr w:rsidR="005556D0" w:rsidRPr="006C6629" w14:paraId="02F65C33" w14:textId="77777777" w:rsidTr="006C6629">
        <w:tc>
          <w:tcPr>
            <w:tcW w:w="538" w:type="dxa"/>
            <w:tcBorders>
              <w:top w:val="single" w:sz="4" w:space="0" w:color="auto"/>
            </w:tcBorders>
          </w:tcPr>
          <w:p w14:paraId="75C5C0FD" w14:textId="77777777" w:rsidR="000313E5" w:rsidRPr="005556D0" w:rsidRDefault="000313E5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  <w:tcBorders>
              <w:top w:val="single" w:sz="4" w:space="0" w:color="auto"/>
            </w:tcBorders>
          </w:tcPr>
          <w:p w14:paraId="3E899A9A" w14:textId="50ECA378" w:rsidR="000313E5" w:rsidRPr="002F2688" w:rsidRDefault="00D15996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Fuerza Mayor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3FFCE6FA" w14:textId="467DD420" w:rsidR="000313E5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Posible</w:t>
            </w:r>
          </w:p>
        </w:tc>
        <w:tc>
          <w:tcPr>
            <w:tcW w:w="7322" w:type="dxa"/>
            <w:tcBorders>
              <w:top w:val="single" w:sz="4" w:space="0" w:color="auto"/>
            </w:tcBorders>
          </w:tcPr>
          <w:p w14:paraId="6435E746" w14:textId="259D4A6C" w:rsidR="000313E5" w:rsidRPr="005556D0" w:rsidRDefault="005556D0" w:rsidP="005556D0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</w:t>
            </w:r>
            <w:r w:rsidRPr="005556D0">
              <w:rPr>
                <w:rFonts w:cstheme="minorHAnsi"/>
                <w:lang w:val="es-ES"/>
              </w:rPr>
              <w:t xml:space="preserve">osiblemente no se requiera ningún cambio </w:t>
            </w:r>
          </w:p>
        </w:tc>
      </w:tr>
      <w:tr w:rsidR="005556D0" w:rsidRPr="006C6629" w14:paraId="06C4295F" w14:textId="77777777" w:rsidTr="00BB59DE">
        <w:tc>
          <w:tcPr>
            <w:tcW w:w="538" w:type="dxa"/>
          </w:tcPr>
          <w:p w14:paraId="757E333C" w14:textId="77777777" w:rsidR="000313E5" w:rsidRPr="002F2688" w:rsidRDefault="000313E5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</w:tcPr>
          <w:p w14:paraId="0580715F" w14:textId="470BFAC9" w:rsidR="000313E5" w:rsidRPr="002F2688" w:rsidRDefault="00D15996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Resolución del contrato</w:t>
            </w:r>
          </w:p>
        </w:tc>
        <w:tc>
          <w:tcPr>
            <w:tcW w:w="1530" w:type="dxa"/>
          </w:tcPr>
          <w:p w14:paraId="2B8A04A2" w14:textId="74735953" w:rsidR="000313E5" w:rsidRPr="002F2688" w:rsidRDefault="00D15996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>Posible</w:t>
            </w:r>
          </w:p>
        </w:tc>
        <w:tc>
          <w:tcPr>
            <w:tcW w:w="7322" w:type="dxa"/>
          </w:tcPr>
          <w:p w14:paraId="68E07A63" w14:textId="3DCDFD84" w:rsidR="00613A52" w:rsidRPr="005556D0" w:rsidRDefault="005556D0" w:rsidP="005556D0">
            <w:pPr>
              <w:pStyle w:val="ListParagraph"/>
              <w:numPr>
                <w:ilvl w:val="0"/>
                <w:numId w:val="1"/>
              </w:numPr>
              <w:spacing w:before="40" w:after="40"/>
              <w:ind w:left="259" w:hanging="216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La </w:t>
            </w:r>
            <w:r w:rsidRPr="005556D0">
              <w:rPr>
                <w:rFonts w:cstheme="minorHAnsi"/>
                <w:lang w:val="es-ES"/>
              </w:rPr>
              <w:t xml:space="preserve">estipulación en el formulario del contrato posiblemente sirve adecuadamente </w:t>
            </w:r>
          </w:p>
        </w:tc>
      </w:tr>
      <w:tr w:rsidR="005556D0" w:rsidRPr="0012379F" w14:paraId="520F95BF" w14:textId="77777777" w:rsidTr="002F2688">
        <w:tc>
          <w:tcPr>
            <w:tcW w:w="538" w:type="dxa"/>
            <w:tcBorders>
              <w:bottom w:val="single" w:sz="4" w:space="0" w:color="auto"/>
            </w:tcBorders>
          </w:tcPr>
          <w:p w14:paraId="7CDF5C3A" w14:textId="77777777" w:rsidR="00613A52" w:rsidRPr="002F2688" w:rsidRDefault="00613A52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  <w:lang w:val="es-ES"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1FE229A4" w14:textId="5111795C" w:rsidR="00613A52" w:rsidRPr="002F2688" w:rsidRDefault="002F2688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 xml:space="preserve">Fraude &amp; corrupción; derecho del </w:t>
            </w:r>
            <w:r>
              <w:rPr>
                <w:rFonts w:cstheme="minorHAnsi"/>
                <w:b/>
                <w:lang w:val="es-ES"/>
              </w:rPr>
              <w:t>B</w:t>
            </w:r>
            <w:r w:rsidRPr="002F2688">
              <w:rPr>
                <w:rFonts w:cstheme="minorHAnsi"/>
                <w:b/>
                <w:lang w:val="es-ES"/>
              </w:rPr>
              <w:t>anco a realizar auditorías</w:t>
            </w:r>
            <w:r w:rsidR="00613A52" w:rsidRPr="002F2688">
              <w:rPr>
                <w:rFonts w:cstheme="minorHAnsi"/>
                <w:b/>
                <w:lang w:val="es-ES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26439D7" w14:textId="200B0524" w:rsidR="00613A52" w:rsidRPr="002F2688" w:rsidRDefault="00613A52" w:rsidP="00BB59DE">
            <w:pPr>
              <w:spacing w:before="40" w:after="40"/>
              <w:ind w:left="43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color w:val="FF0000"/>
                <w:lang w:val="es-ES"/>
              </w:rPr>
              <w:t>NO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1A0BCEF7" w14:textId="77777777" w:rsidR="00613A52" w:rsidRPr="005556D0" w:rsidRDefault="00613A52" w:rsidP="00BB59DE">
            <w:pPr>
              <w:spacing w:before="40" w:after="40"/>
              <w:ind w:left="43"/>
              <w:rPr>
                <w:rFonts w:cstheme="minorHAnsi"/>
                <w:lang w:val="es-ES"/>
              </w:rPr>
            </w:pPr>
          </w:p>
        </w:tc>
      </w:tr>
      <w:tr w:rsidR="005556D0" w:rsidRPr="006C6629" w14:paraId="4D84DC02" w14:textId="77777777" w:rsidTr="002F2688">
        <w:trPr>
          <w:trHeight w:val="376"/>
        </w:trPr>
        <w:tc>
          <w:tcPr>
            <w:tcW w:w="538" w:type="dxa"/>
            <w:tcBorders>
              <w:bottom w:val="single" w:sz="4" w:space="0" w:color="auto"/>
            </w:tcBorders>
          </w:tcPr>
          <w:p w14:paraId="07C5CDAE" w14:textId="77777777" w:rsidR="00613A52" w:rsidRPr="0012379F" w:rsidRDefault="00613A52" w:rsidP="00BB59DE">
            <w:pPr>
              <w:pStyle w:val="ListParagraph"/>
              <w:numPr>
                <w:ilvl w:val="0"/>
                <w:numId w:val="6"/>
              </w:numPr>
              <w:spacing w:before="40" w:after="80"/>
              <w:ind w:left="330" w:hanging="270"/>
              <w:contextualSpacing w:val="0"/>
              <w:rPr>
                <w:rFonts w:cstheme="minorHAnsi"/>
                <w:b/>
              </w:rPr>
            </w:pP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14:paraId="4A702EAD" w14:textId="05F61F7D" w:rsidR="00613A52" w:rsidRPr="002F2688" w:rsidRDefault="000108B2" w:rsidP="00BB59DE">
            <w:pPr>
              <w:spacing w:before="40" w:after="40"/>
              <w:ind w:left="-14"/>
              <w:rPr>
                <w:rFonts w:cstheme="minorHAnsi"/>
                <w:b/>
                <w:lang w:val="es-ES"/>
              </w:rPr>
            </w:pPr>
            <w:r w:rsidRPr="002F2688">
              <w:rPr>
                <w:rFonts w:cstheme="minorHAnsi"/>
                <w:b/>
                <w:lang w:val="es-ES"/>
              </w:rPr>
              <w:t xml:space="preserve">Cualquier otra estipulación que las Partes acuerden agregar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CBB91F7" w14:textId="6CD84DF9" w:rsidR="00613A52" w:rsidRPr="0012379F" w:rsidRDefault="00D15996" w:rsidP="00BB59DE">
            <w:pPr>
              <w:spacing w:before="40" w:after="40"/>
              <w:ind w:left="1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Posible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14:paraId="52DB98E1" w14:textId="6B28042C" w:rsidR="00613A52" w:rsidRPr="005556D0" w:rsidRDefault="005556D0" w:rsidP="00BB59DE">
            <w:pPr>
              <w:pStyle w:val="ListParagraph"/>
              <w:numPr>
                <w:ilvl w:val="0"/>
                <w:numId w:val="1"/>
              </w:numPr>
              <w:spacing w:before="40" w:after="40"/>
              <w:ind w:left="361"/>
              <w:rPr>
                <w:rFonts w:cstheme="minorHAnsi"/>
                <w:lang w:val="es-ES"/>
              </w:rPr>
            </w:pPr>
            <w:r w:rsidRPr="005556D0">
              <w:rPr>
                <w:rFonts w:cstheme="minorHAnsi"/>
                <w:lang w:val="es-ES"/>
              </w:rPr>
              <w:t xml:space="preserve">Si se precisan deberán analizarse caso por caso </w:t>
            </w:r>
          </w:p>
        </w:tc>
      </w:tr>
    </w:tbl>
    <w:p w14:paraId="5B6C3AC5" w14:textId="77777777" w:rsidR="00470A33" w:rsidRPr="005556D0" w:rsidRDefault="00470A33" w:rsidP="0012379F">
      <w:pPr>
        <w:tabs>
          <w:tab w:val="left" w:pos="1365"/>
        </w:tabs>
        <w:rPr>
          <w:lang w:val="es-ES"/>
        </w:rPr>
      </w:pPr>
    </w:p>
    <w:sectPr w:rsidR="00470A33" w:rsidRPr="005556D0" w:rsidSect="0012379F">
      <w:headerReference w:type="default" r:id="rId10"/>
      <w:footerReference w:type="default" r:id="rId11"/>
      <w:pgSz w:w="15840" w:h="12240" w:orient="landscape"/>
      <w:pgMar w:top="1260" w:right="810" w:bottom="1440" w:left="144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BE42" w14:textId="77777777" w:rsidR="003B1532" w:rsidRDefault="003B1532" w:rsidP="003C7E30">
      <w:pPr>
        <w:spacing w:after="0" w:line="240" w:lineRule="auto"/>
      </w:pPr>
      <w:r>
        <w:separator/>
      </w:r>
    </w:p>
  </w:endnote>
  <w:endnote w:type="continuationSeparator" w:id="0">
    <w:p w14:paraId="5FFC6DE6" w14:textId="77777777" w:rsidR="003B1532" w:rsidRDefault="003B1532" w:rsidP="003C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A2FB" w14:textId="77777777" w:rsidR="00470A33" w:rsidRDefault="00470A33" w:rsidP="00470A33">
    <w:pPr>
      <w:pStyle w:val="Footer"/>
      <w:tabs>
        <w:tab w:val="clear" w:pos="4680"/>
        <w:tab w:val="clear" w:pos="9360"/>
      </w:tabs>
      <w:ind w:right="-720"/>
    </w:pPr>
    <w:r>
      <w:tab/>
    </w:r>
    <w:r>
      <w:tab/>
    </w:r>
    <w:r>
      <w:tab/>
    </w:r>
    <w:r>
      <w:tab/>
    </w:r>
    <w:r>
      <w:tab/>
      <w:t xml:space="preserve"> </w:t>
    </w:r>
    <w:sdt>
      <w:sdtPr>
        <w:id w:val="-12127998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FC35344" w14:textId="77777777" w:rsidR="00D172E8" w:rsidRDefault="00D17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BF68F" w14:textId="77777777" w:rsidR="003B1532" w:rsidRDefault="003B1532" w:rsidP="003C7E30">
      <w:pPr>
        <w:spacing w:after="0" w:line="240" w:lineRule="auto"/>
      </w:pPr>
      <w:r>
        <w:separator/>
      </w:r>
    </w:p>
  </w:footnote>
  <w:footnote w:type="continuationSeparator" w:id="0">
    <w:p w14:paraId="29C838BD" w14:textId="77777777" w:rsidR="003B1532" w:rsidRDefault="003B1532" w:rsidP="003C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9135" w14:textId="3640B9C3" w:rsidR="00470A33" w:rsidRPr="00D15996" w:rsidRDefault="00D15996" w:rsidP="00470A33">
    <w:pPr>
      <w:pStyle w:val="Header"/>
      <w:jc w:val="center"/>
      <w:rPr>
        <w:lang w:val="es-ES"/>
      </w:rPr>
    </w:pPr>
    <w:r w:rsidRPr="00D15996">
      <w:rPr>
        <w:lang w:val="es-ES"/>
      </w:rPr>
      <w:t xml:space="preserve">Respuesta al </w:t>
    </w:r>
    <w:r w:rsidR="00676153" w:rsidRPr="00D15996">
      <w:rPr>
        <w:lang w:val="es-ES"/>
      </w:rPr>
      <w:t xml:space="preserve">COVID 19 </w:t>
    </w:r>
    <w:r w:rsidRPr="00D15996">
      <w:rPr>
        <w:lang w:val="es-ES"/>
      </w:rPr>
      <w:t xml:space="preserve">- Apoyo al proceso de negociaciones - </w:t>
    </w:r>
    <w:r>
      <w:rPr>
        <w:lang w:val="es-ES"/>
      </w:rPr>
      <w:t>Bienes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7BA"/>
    <w:multiLevelType w:val="hybridMultilevel"/>
    <w:tmpl w:val="31B671B4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 w15:restartNumberingAfterBreak="0">
    <w:nsid w:val="0E335D09"/>
    <w:multiLevelType w:val="hybridMultilevel"/>
    <w:tmpl w:val="8BCC96FC"/>
    <w:lvl w:ilvl="0" w:tplc="772AF82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13DA38F3"/>
    <w:multiLevelType w:val="hybridMultilevel"/>
    <w:tmpl w:val="8A568950"/>
    <w:lvl w:ilvl="0" w:tplc="8DD6B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97DAC"/>
    <w:multiLevelType w:val="hybridMultilevel"/>
    <w:tmpl w:val="3C5C08D8"/>
    <w:lvl w:ilvl="0" w:tplc="6D167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6044568F"/>
    <w:multiLevelType w:val="hybridMultilevel"/>
    <w:tmpl w:val="EF9CE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3D1DD1"/>
    <w:multiLevelType w:val="hybridMultilevel"/>
    <w:tmpl w:val="2884AF8C"/>
    <w:lvl w:ilvl="0" w:tplc="BBE838D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7CA0640B"/>
    <w:multiLevelType w:val="hybridMultilevel"/>
    <w:tmpl w:val="A28EAAB8"/>
    <w:lvl w:ilvl="0" w:tplc="48647C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FFFFFF" w:themeColor="background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6C"/>
    <w:rsid w:val="00006118"/>
    <w:rsid w:val="000108B2"/>
    <w:rsid w:val="00020C06"/>
    <w:rsid w:val="00024C89"/>
    <w:rsid w:val="000313E5"/>
    <w:rsid w:val="00047483"/>
    <w:rsid w:val="00065350"/>
    <w:rsid w:val="00073BA7"/>
    <w:rsid w:val="000875C4"/>
    <w:rsid w:val="000A3555"/>
    <w:rsid w:val="000C4860"/>
    <w:rsid w:val="000E60B9"/>
    <w:rsid w:val="00122D58"/>
    <w:rsid w:val="0012379F"/>
    <w:rsid w:val="00147D80"/>
    <w:rsid w:val="001748EE"/>
    <w:rsid w:val="001C6687"/>
    <w:rsid w:val="001F211D"/>
    <w:rsid w:val="001F4FA2"/>
    <w:rsid w:val="00212745"/>
    <w:rsid w:val="00223827"/>
    <w:rsid w:val="00225AF3"/>
    <w:rsid w:val="0026682A"/>
    <w:rsid w:val="002F2688"/>
    <w:rsid w:val="00332D9A"/>
    <w:rsid w:val="003443EE"/>
    <w:rsid w:val="003A526B"/>
    <w:rsid w:val="003B1532"/>
    <w:rsid w:val="003C1960"/>
    <w:rsid w:val="003C7E30"/>
    <w:rsid w:val="003D0CB7"/>
    <w:rsid w:val="003D6109"/>
    <w:rsid w:val="00470A33"/>
    <w:rsid w:val="00483FD4"/>
    <w:rsid w:val="004B4B55"/>
    <w:rsid w:val="004C6E13"/>
    <w:rsid w:val="004F1547"/>
    <w:rsid w:val="0053182F"/>
    <w:rsid w:val="005342E2"/>
    <w:rsid w:val="005556D0"/>
    <w:rsid w:val="00566E2F"/>
    <w:rsid w:val="005945B6"/>
    <w:rsid w:val="005E733C"/>
    <w:rsid w:val="005F425D"/>
    <w:rsid w:val="0061219B"/>
    <w:rsid w:val="00613A52"/>
    <w:rsid w:val="006220B2"/>
    <w:rsid w:val="0063497A"/>
    <w:rsid w:val="0063741E"/>
    <w:rsid w:val="00676153"/>
    <w:rsid w:val="006876AD"/>
    <w:rsid w:val="006B2B71"/>
    <w:rsid w:val="006C6629"/>
    <w:rsid w:val="006D734A"/>
    <w:rsid w:val="00775E7E"/>
    <w:rsid w:val="007840BE"/>
    <w:rsid w:val="007B0F0B"/>
    <w:rsid w:val="007D417E"/>
    <w:rsid w:val="00817667"/>
    <w:rsid w:val="008237EC"/>
    <w:rsid w:val="00842E7A"/>
    <w:rsid w:val="008A0643"/>
    <w:rsid w:val="008A6829"/>
    <w:rsid w:val="008C0CBE"/>
    <w:rsid w:val="008E5E4D"/>
    <w:rsid w:val="00937EC0"/>
    <w:rsid w:val="009565CE"/>
    <w:rsid w:val="00991D71"/>
    <w:rsid w:val="009951B2"/>
    <w:rsid w:val="009B15E0"/>
    <w:rsid w:val="009C2732"/>
    <w:rsid w:val="009D25C8"/>
    <w:rsid w:val="009F068C"/>
    <w:rsid w:val="009F5D4D"/>
    <w:rsid w:val="00A1050B"/>
    <w:rsid w:val="00A12009"/>
    <w:rsid w:val="00A655E6"/>
    <w:rsid w:val="00A76486"/>
    <w:rsid w:val="00AE39F8"/>
    <w:rsid w:val="00AE594C"/>
    <w:rsid w:val="00B0120F"/>
    <w:rsid w:val="00B03515"/>
    <w:rsid w:val="00B17821"/>
    <w:rsid w:val="00B67EEB"/>
    <w:rsid w:val="00BB31AE"/>
    <w:rsid w:val="00BB59DE"/>
    <w:rsid w:val="00BF085B"/>
    <w:rsid w:val="00BF28EE"/>
    <w:rsid w:val="00C07438"/>
    <w:rsid w:val="00C13574"/>
    <w:rsid w:val="00C16D96"/>
    <w:rsid w:val="00C24C0D"/>
    <w:rsid w:val="00C711BD"/>
    <w:rsid w:val="00C75C5E"/>
    <w:rsid w:val="00CA051B"/>
    <w:rsid w:val="00CB5D2C"/>
    <w:rsid w:val="00CC05B7"/>
    <w:rsid w:val="00CC5436"/>
    <w:rsid w:val="00CD48D3"/>
    <w:rsid w:val="00CD5249"/>
    <w:rsid w:val="00CD5825"/>
    <w:rsid w:val="00CE0C70"/>
    <w:rsid w:val="00D15996"/>
    <w:rsid w:val="00D164C2"/>
    <w:rsid w:val="00D172E8"/>
    <w:rsid w:val="00D3452B"/>
    <w:rsid w:val="00D4015E"/>
    <w:rsid w:val="00D96456"/>
    <w:rsid w:val="00DB7512"/>
    <w:rsid w:val="00DD0A7C"/>
    <w:rsid w:val="00E52A22"/>
    <w:rsid w:val="00E8020A"/>
    <w:rsid w:val="00EA077E"/>
    <w:rsid w:val="00EA2AF0"/>
    <w:rsid w:val="00EE5A5A"/>
    <w:rsid w:val="00EF5BF7"/>
    <w:rsid w:val="00EF7A35"/>
    <w:rsid w:val="00F0066C"/>
    <w:rsid w:val="00F343E8"/>
    <w:rsid w:val="00F721DB"/>
    <w:rsid w:val="00FC6389"/>
    <w:rsid w:val="00FD6607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C1BAA"/>
  <w15:chartTrackingRefBased/>
  <w15:docId w15:val="{4B67ED01-0EA5-4DDF-A47E-CF2CD95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66C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0066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E30"/>
  </w:style>
  <w:style w:type="paragraph" w:styleId="Footer">
    <w:name w:val="footer"/>
    <w:basedOn w:val="Normal"/>
    <w:link w:val="FooterChar"/>
    <w:uiPriority w:val="99"/>
    <w:unhideWhenUsed/>
    <w:rsid w:val="003C7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E30"/>
  </w:style>
  <w:style w:type="table" w:styleId="TableGrid">
    <w:name w:val="Table Grid"/>
    <w:basedOn w:val="TableNormal"/>
    <w:uiPriority w:val="39"/>
    <w:rsid w:val="004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2" ma:contentTypeDescription="Create a new document." ma:contentTypeScope="" ma:versionID="e8e1bf04165ff7bba49cf144bae32960">
  <xsd:schema xmlns:xsd="http://www.w3.org/2001/XMLSchema" xmlns:xs="http://www.w3.org/2001/XMLSchema" xmlns:p="http://schemas.microsoft.com/office/2006/metadata/properties" xmlns:ns3="aa3449fd-d373-417f-9c8d-cf261ce8b785" xmlns:ns4="eda4fd43-f936-4ced-9b4a-46c1ef7d5473" targetNamespace="http://schemas.microsoft.com/office/2006/metadata/properties" ma:root="true" ma:fieldsID="b92fb47443f590539839531072940309" ns3:_="" ns4:_="">
    <xsd:import namespace="aa3449fd-d373-417f-9c8d-cf261ce8b785"/>
    <xsd:import namespace="eda4fd43-f936-4ced-9b4a-46c1ef7d54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0DC9E6-69D4-40CB-8B69-495ADEB62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449fd-d373-417f-9c8d-cf261ce8b785"/>
    <ds:schemaRef ds:uri="eda4fd43-f936-4ced-9b4a-46c1ef7d5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82E51-B94D-4AB2-A67A-45B0C463F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0618F-C531-4120-AEAF-BBE3E5483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Marghoob Bin Hussein</dc:creator>
  <cp:keywords/>
  <dc:description/>
  <cp:lastModifiedBy>Efraim Jimenez</cp:lastModifiedBy>
  <cp:revision>7</cp:revision>
  <cp:lastPrinted>2019-10-25T20:18:00Z</cp:lastPrinted>
  <dcterms:created xsi:type="dcterms:W3CDTF">2020-03-30T22:10:00Z</dcterms:created>
  <dcterms:modified xsi:type="dcterms:W3CDTF">2020-03-30T22:56:00Z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