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762E" w14:textId="77777777" w:rsidR="00F049A7" w:rsidRPr="007D23ED" w:rsidRDefault="00F049A7" w:rsidP="00F049A7">
      <w:pPr>
        <w:spacing w:after="0" w:line="240" w:lineRule="auto"/>
        <w:rPr>
          <w:bCs/>
          <w:i/>
          <w:iCs/>
          <w:sz w:val="24"/>
          <w:szCs w:val="24"/>
        </w:rPr>
      </w:pPr>
      <w:r w:rsidRPr="007D23ED">
        <w:rPr>
          <w:i/>
          <w:iCs/>
          <w:sz w:val="24"/>
          <w:szCs w:val="24"/>
        </w:rPr>
        <w:t xml:space="preserve">The Guidance Notes provide guidance for the Borrower on the application of the Environmental and Social Standards (ESSs), which form part of the World Bank’s </w:t>
      </w:r>
      <w:r>
        <w:rPr>
          <w:i/>
          <w:iCs/>
          <w:sz w:val="24"/>
          <w:szCs w:val="24"/>
        </w:rPr>
        <w:t xml:space="preserve">2016 </w:t>
      </w:r>
      <w:r w:rsidRPr="007D23ED">
        <w:rPr>
          <w:i/>
          <w:iCs/>
          <w:sz w:val="24"/>
          <w:szCs w:val="24"/>
        </w:rPr>
        <w:t xml:space="preserve">Environmental and Social Framework. The </w:t>
      </w:r>
      <w:r>
        <w:rPr>
          <w:i/>
          <w:iCs/>
          <w:sz w:val="24"/>
          <w:szCs w:val="24"/>
        </w:rPr>
        <w:t xml:space="preserve">Guidance </w:t>
      </w:r>
      <w:r w:rsidRPr="007D23ED">
        <w:rPr>
          <w:i/>
          <w:iCs/>
          <w:sz w:val="24"/>
          <w:szCs w:val="24"/>
        </w:rPr>
        <w:t>Notes help to explain the requirements of the ESSs</w:t>
      </w:r>
      <w:r>
        <w:rPr>
          <w:i/>
          <w:iCs/>
          <w:sz w:val="24"/>
          <w:szCs w:val="24"/>
        </w:rPr>
        <w:t>;</w:t>
      </w:r>
      <w:r w:rsidRPr="007D23ED">
        <w:rPr>
          <w:i/>
          <w:iCs/>
          <w:sz w:val="24"/>
          <w:szCs w:val="24"/>
        </w:rPr>
        <w:t xml:space="preserve"> </w:t>
      </w:r>
      <w:r>
        <w:rPr>
          <w:i/>
          <w:iCs/>
          <w:sz w:val="24"/>
          <w:szCs w:val="24"/>
        </w:rPr>
        <w:t>t</w:t>
      </w:r>
      <w:r w:rsidRPr="007D23ED">
        <w:rPr>
          <w:i/>
          <w:iCs/>
          <w:sz w:val="24"/>
          <w:szCs w:val="24"/>
        </w:rPr>
        <w:t xml:space="preserve">hey are not </w:t>
      </w:r>
      <w:r>
        <w:rPr>
          <w:i/>
          <w:iCs/>
          <w:sz w:val="24"/>
          <w:szCs w:val="24"/>
        </w:rPr>
        <w:t xml:space="preserve">Bank </w:t>
      </w:r>
      <w:r w:rsidRPr="007D23ED">
        <w:rPr>
          <w:i/>
          <w:iCs/>
          <w:sz w:val="24"/>
          <w:szCs w:val="24"/>
        </w:rPr>
        <w:t>policy</w:t>
      </w:r>
      <w:r>
        <w:rPr>
          <w:i/>
          <w:iCs/>
          <w:sz w:val="24"/>
          <w:szCs w:val="24"/>
        </w:rPr>
        <w:t>, nor are they mandatory. The Guidance Notes</w:t>
      </w:r>
      <w:r w:rsidRPr="007D23ED">
        <w:rPr>
          <w:i/>
          <w:iCs/>
          <w:sz w:val="24"/>
          <w:szCs w:val="24"/>
        </w:rPr>
        <w:t xml:space="preserve"> do </w:t>
      </w:r>
      <w:r>
        <w:rPr>
          <w:i/>
          <w:iCs/>
          <w:sz w:val="24"/>
          <w:szCs w:val="24"/>
        </w:rPr>
        <w:t xml:space="preserve">not </w:t>
      </w:r>
      <w:r w:rsidRPr="007D23ED">
        <w:rPr>
          <w:i/>
          <w:iCs/>
          <w:sz w:val="24"/>
          <w:szCs w:val="24"/>
        </w:rPr>
        <w:t>substitute for</w:t>
      </w:r>
      <w:r>
        <w:rPr>
          <w:i/>
          <w:iCs/>
          <w:sz w:val="24"/>
          <w:szCs w:val="24"/>
        </w:rPr>
        <w:t xml:space="preserve"> the</w:t>
      </w:r>
      <w:r w:rsidRPr="007D23ED">
        <w:rPr>
          <w:i/>
          <w:iCs/>
          <w:sz w:val="24"/>
          <w:szCs w:val="24"/>
        </w:rPr>
        <w:t xml:space="preserve"> </w:t>
      </w:r>
      <w:r>
        <w:rPr>
          <w:i/>
          <w:iCs/>
          <w:sz w:val="24"/>
          <w:szCs w:val="24"/>
        </w:rPr>
        <w:t>need to</w:t>
      </w:r>
      <w:r w:rsidRPr="007D23ED">
        <w:rPr>
          <w:i/>
          <w:iCs/>
          <w:sz w:val="24"/>
          <w:szCs w:val="24"/>
        </w:rPr>
        <w:t xml:space="preserve"> exercise sound judgment in making project decisions. In case of any inconsistency or conflict between th</w:t>
      </w:r>
      <w:r>
        <w:rPr>
          <w:i/>
          <w:iCs/>
          <w:sz w:val="24"/>
          <w:szCs w:val="24"/>
        </w:rPr>
        <w:t>e</w:t>
      </w:r>
      <w:r w:rsidRPr="007D23ED">
        <w:rPr>
          <w:i/>
          <w:iCs/>
          <w:sz w:val="24"/>
          <w:szCs w:val="24"/>
        </w:rPr>
        <w:t xml:space="preserve"> </w:t>
      </w:r>
      <w:r>
        <w:rPr>
          <w:i/>
          <w:iCs/>
          <w:sz w:val="24"/>
          <w:szCs w:val="24"/>
        </w:rPr>
        <w:t>Guidance Notes</w:t>
      </w:r>
      <w:r w:rsidRPr="007D23ED">
        <w:rPr>
          <w:i/>
          <w:iCs/>
          <w:sz w:val="24"/>
          <w:szCs w:val="24"/>
        </w:rPr>
        <w:t xml:space="preserve"> and the ESSs, the provisions of the ESSs prevail. </w:t>
      </w:r>
      <w:r w:rsidRPr="007D23ED">
        <w:rPr>
          <w:bCs/>
          <w:i/>
          <w:iCs/>
          <w:sz w:val="24"/>
          <w:szCs w:val="24"/>
        </w:rPr>
        <w:t>Each paragraph of the Standard is highlighted in a box, followed by the corresponding guidance.</w:t>
      </w:r>
    </w:p>
    <w:p w14:paraId="513B969E" w14:textId="77777777" w:rsidR="00C01835" w:rsidRPr="00C01835" w:rsidRDefault="00C01835" w:rsidP="00C01835">
      <w:pPr>
        <w:spacing w:after="0" w:line="240" w:lineRule="auto"/>
        <w:rPr>
          <w:bCs/>
          <w:i/>
          <w:iCs/>
          <w:sz w:val="24"/>
          <w:szCs w:val="24"/>
        </w:rPr>
      </w:pPr>
    </w:p>
    <w:sdt>
      <w:sdtPr>
        <w:rPr>
          <w:rFonts w:ascii="Calibri" w:eastAsia="Calibri" w:hAnsi="Calibri" w:cs="Calibri"/>
          <w:color w:val="70AD47" w:themeColor="accent6"/>
          <w:sz w:val="22"/>
          <w:szCs w:val="22"/>
          <w:lang w:eastAsia="ja-JP"/>
        </w:rPr>
        <w:id w:val="2052951337"/>
        <w:docPartObj>
          <w:docPartGallery w:val="Table of Contents"/>
          <w:docPartUnique/>
        </w:docPartObj>
      </w:sdtPr>
      <w:sdtEndPr>
        <w:rPr>
          <w:b/>
          <w:bCs/>
          <w:noProof/>
          <w:color w:val="000000"/>
        </w:rPr>
      </w:sdtEndPr>
      <w:sdtContent>
        <w:p w14:paraId="4E2A35B3" w14:textId="4877F640" w:rsidR="00C01835" w:rsidRPr="00C01835" w:rsidRDefault="00C01835">
          <w:pPr>
            <w:pStyle w:val="TOCHeading"/>
            <w:rPr>
              <w:color w:val="70AD47" w:themeColor="accent6"/>
            </w:rPr>
          </w:pPr>
          <w:r w:rsidRPr="00C01835">
            <w:rPr>
              <w:color w:val="70AD47" w:themeColor="accent6"/>
            </w:rPr>
            <w:t>Contents</w:t>
          </w:r>
        </w:p>
        <w:p w14:paraId="6F9733E4" w14:textId="20C9E056" w:rsidR="00393BF4" w:rsidRDefault="00C01835">
          <w:pPr>
            <w:pStyle w:val="TOC1"/>
            <w:tabs>
              <w:tab w:val="right" w:leader="dot" w:pos="9350"/>
            </w:tabs>
            <w:rPr>
              <w:rFonts w:asciiTheme="minorHAnsi" w:eastAsiaTheme="minorEastAsia" w:hAnsiTheme="minorHAnsi" w:cstheme="minorBidi"/>
              <w:noProof/>
              <w:color w:val="auto"/>
              <w:lang w:eastAsia="en-US"/>
            </w:rPr>
          </w:pPr>
          <w:r>
            <w:fldChar w:fldCharType="begin"/>
          </w:r>
          <w:r>
            <w:instrText xml:space="preserve"> TOC \o "1-3" \h \z \u </w:instrText>
          </w:r>
          <w:r>
            <w:fldChar w:fldCharType="separate"/>
          </w:r>
          <w:hyperlink w:anchor="_Toc494045537" w:history="1">
            <w:r w:rsidR="00393BF4" w:rsidRPr="0053620A">
              <w:rPr>
                <w:rStyle w:val="Hyperlink"/>
                <w:noProof/>
              </w:rPr>
              <w:t>Introduction</w:t>
            </w:r>
            <w:r w:rsidR="00393BF4">
              <w:rPr>
                <w:noProof/>
                <w:webHidden/>
              </w:rPr>
              <w:tab/>
            </w:r>
            <w:r w:rsidR="00393BF4">
              <w:rPr>
                <w:noProof/>
                <w:webHidden/>
              </w:rPr>
              <w:fldChar w:fldCharType="begin"/>
            </w:r>
            <w:r w:rsidR="00393BF4">
              <w:rPr>
                <w:noProof/>
                <w:webHidden/>
              </w:rPr>
              <w:instrText xml:space="preserve"> PAGEREF _Toc494045537 \h </w:instrText>
            </w:r>
            <w:r w:rsidR="00393BF4">
              <w:rPr>
                <w:noProof/>
                <w:webHidden/>
              </w:rPr>
            </w:r>
            <w:r w:rsidR="00393BF4">
              <w:rPr>
                <w:noProof/>
                <w:webHidden/>
              </w:rPr>
              <w:fldChar w:fldCharType="separate"/>
            </w:r>
            <w:r w:rsidR="00053B63">
              <w:rPr>
                <w:noProof/>
                <w:webHidden/>
              </w:rPr>
              <w:t>2</w:t>
            </w:r>
            <w:r w:rsidR="00393BF4">
              <w:rPr>
                <w:noProof/>
                <w:webHidden/>
              </w:rPr>
              <w:fldChar w:fldCharType="end"/>
            </w:r>
          </w:hyperlink>
        </w:p>
        <w:p w14:paraId="16AEAFA3" w14:textId="6E8F43BF" w:rsidR="00393BF4" w:rsidRDefault="00053B63">
          <w:pPr>
            <w:pStyle w:val="TOC1"/>
            <w:tabs>
              <w:tab w:val="right" w:leader="dot" w:pos="9350"/>
            </w:tabs>
            <w:rPr>
              <w:rFonts w:asciiTheme="minorHAnsi" w:eastAsiaTheme="minorEastAsia" w:hAnsiTheme="minorHAnsi" w:cstheme="minorBidi"/>
              <w:noProof/>
              <w:color w:val="auto"/>
              <w:lang w:eastAsia="en-US"/>
            </w:rPr>
          </w:pPr>
          <w:hyperlink w:anchor="_Toc494045538" w:history="1">
            <w:r w:rsidR="00393BF4" w:rsidRPr="0053620A">
              <w:rPr>
                <w:rStyle w:val="Hyperlink"/>
                <w:noProof/>
              </w:rPr>
              <w:t>Objectives</w:t>
            </w:r>
            <w:r w:rsidR="00393BF4">
              <w:rPr>
                <w:noProof/>
                <w:webHidden/>
              </w:rPr>
              <w:tab/>
            </w:r>
            <w:r w:rsidR="00393BF4">
              <w:rPr>
                <w:noProof/>
                <w:webHidden/>
              </w:rPr>
              <w:fldChar w:fldCharType="begin"/>
            </w:r>
            <w:r w:rsidR="00393BF4">
              <w:rPr>
                <w:noProof/>
                <w:webHidden/>
              </w:rPr>
              <w:instrText xml:space="preserve"> PAGEREF _Toc494045538 \h </w:instrText>
            </w:r>
            <w:r w:rsidR="00393BF4">
              <w:rPr>
                <w:noProof/>
                <w:webHidden/>
              </w:rPr>
            </w:r>
            <w:r w:rsidR="00393BF4">
              <w:rPr>
                <w:noProof/>
                <w:webHidden/>
              </w:rPr>
              <w:fldChar w:fldCharType="separate"/>
            </w:r>
            <w:r>
              <w:rPr>
                <w:noProof/>
                <w:webHidden/>
              </w:rPr>
              <w:t>2</w:t>
            </w:r>
            <w:r w:rsidR="00393BF4">
              <w:rPr>
                <w:noProof/>
                <w:webHidden/>
              </w:rPr>
              <w:fldChar w:fldCharType="end"/>
            </w:r>
          </w:hyperlink>
        </w:p>
        <w:p w14:paraId="4694B2CB" w14:textId="34C967E2" w:rsidR="00393BF4" w:rsidRDefault="00053B63">
          <w:pPr>
            <w:pStyle w:val="TOC1"/>
            <w:tabs>
              <w:tab w:val="right" w:leader="dot" w:pos="9350"/>
            </w:tabs>
            <w:rPr>
              <w:rFonts w:asciiTheme="minorHAnsi" w:eastAsiaTheme="minorEastAsia" w:hAnsiTheme="minorHAnsi" w:cstheme="minorBidi"/>
              <w:noProof/>
              <w:color w:val="auto"/>
              <w:lang w:eastAsia="en-US"/>
            </w:rPr>
          </w:pPr>
          <w:hyperlink w:anchor="_Toc494045539" w:history="1">
            <w:r w:rsidR="00393BF4" w:rsidRPr="0053620A">
              <w:rPr>
                <w:rStyle w:val="Hyperlink"/>
                <w:noProof/>
              </w:rPr>
              <w:t>Scope of Application</w:t>
            </w:r>
            <w:r w:rsidR="00393BF4">
              <w:rPr>
                <w:noProof/>
                <w:webHidden/>
              </w:rPr>
              <w:tab/>
            </w:r>
            <w:r w:rsidR="00393BF4">
              <w:rPr>
                <w:noProof/>
                <w:webHidden/>
              </w:rPr>
              <w:fldChar w:fldCharType="begin"/>
            </w:r>
            <w:r w:rsidR="00393BF4">
              <w:rPr>
                <w:noProof/>
                <w:webHidden/>
              </w:rPr>
              <w:instrText xml:space="preserve"> PAGEREF _Toc494045539 \h </w:instrText>
            </w:r>
            <w:r w:rsidR="00393BF4">
              <w:rPr>
                <w:noProof/>
                <w:webHidden/>
              </w:rPr>
            </w:r>
            <w:r w:rsidR="00393BF4">
              <w:rPr>
                <w:noProof/>
                <w:webHidden/>
              </w:rPr>
              <w:fldChar w:fldCharType="separate"/>
            </w:r>
            <w:r>
              <w:rPr>
                <w:noProof/>
                <w:webHidden/>
              </w:rPr>
              <w:t>2</w:t>
            </w:r>
            <w:r w:rsidR="00393BF4">
              <w:rPr>
                <w:noProof/>
                <w:webHidden/>
              </w:rPr>
              <w:fldChar w:fldCharType="end"/>
            </w:r>
          </w:hyperlink>
        </w:p>
        <w:p w14:paraId="519BE086" w14:textId="63A909F1" w:rsidR="00393BF4" w:rsidRDefault="00053B63">
          <w:pPr>
            <w:pStyle w:val="TOC1"/>
            <w:tabs>
              <w:tab w:val="right" w:leader="dot" w:pos="9350"/>
            </w:tabs>
            <w:rPr>
              <w:rFonts w:asciiTheme="minorHAnsi" w:eastAsiaTheme="minorEastAsia" w:hAnsiTheme="minorHAnsi" w:cstheme="minorBidi"/>
              <w:noProof/>
              <w:color w:val="auto"/>
              <w:lang w:eastAsia="en-US"/>
            </w:rPr>
          </w:pPr>
          <w:hyperlink w:anchor="_Toc494045540" w:history="1">
            <w:r w:rsidR="00393BF4" w:rsidRPr="0053620A">
              <w:rPr>
                <w:rStyle w:val="Hyperlink"/>
                <w:noProof/>
              </w:rPr>
              <w:t>Requirements</w:t>
            </w:r>
            <w:r w:rsidR="00393BF4">
              <w:rPr>
                <w:noProof/>
                <w:webHidden/>
              </w:rPr>
              <w:tab/>
            </w:r>
            <w:r w:rsidR="00393BF4">
              <w:rPr>
                <w:noProof/>
                <w:webHidden/>
              </w:rPr>
              <w:fldChar w:fldCharType="begin"/>
            </w:r>
            <w:r w:rsidR="00393BF4">
              <w:rPr>
                <w:noProof/>
                <w:webHidden/>
              </w:rPr>
              <w:instrText xml:space="preserve"> PAGEREF _Toc494045540 \h </w:instrText>
            </w:r>
            <w:r w:rsidR="00393BF4">
              <w:rPr>
                <w:noProof/>
                <w:webHidden/>
              </w:rPr>
            </w:r>
            <w:r w:rsidR="00393BF4">
              <w:rPr>
                <w:noProof/>
                <w:webHidden/>
              </w:rPr>
              <w:fldChar w:fldCharType="separate"/>
            </w:r>
            <w:r>
              <w:rPr>
                <w:noProof/>
                <w:webHidden/>
              </w:rPr>
              <w:t>4</w:t>
            </w:r>
            <w:r w:rsidR="00393BF4">
              <w:rPr>
                <w:noProof/>
                <w:webHidden/>
              </w:rPr>
              <w:fldChar w:fldCharType="end"/>
            </w:r>
          </w:hyperlink>
        </w:p>
        <w:p w14:paraId="64015928" w14:textId="03E0EF03" w:rsidR="00393BF4" w:rsidRDefault="00053B63">
          <w:pPr>
            <w:pStyle w:val="TOC1"/>
            <w:tabs>
              <w:tab w:val="right" w:leader="dot" w:pos="9350"/>
            </w:tabs>
            <w:rPr>
              <w:rFonts w:asciiTheme="minorHAnsi" w:eastAsiaTheme="minorEastAsia" w:hAnsiTheme="minorHAnsi" w:cstheme="minorBidi"/>
              <w:noProof/>
              <w:color w:val="auto"/>
              <w:lang w:eastAsia="en-US"/>
            </w:rPr>
          </w:pPr>
          <w:hyperlink w:anchor="_Toc494045541" w:history="1">
            <w:r w:rsidR="00393BF4" w:rsidRPr="0053620A">
              <w:rPr>
                <w:rStyle w:val="Hyperlink"/>
                <w:noProof/>
              </w:rPr>
              <w:t>A. Environmental and Social Management System</w:t>
            </w:r>
            <w:r w:rsidR="00393BF4">
              <w:rPr>
                <w:noProof/>
                <w:webHidden/>
              </w:rPr>
              <w:tab/>
            </w:r>
            <w:r w:rsidR="00393BF4">
              <w:rPr>
                <w:noProof/>
                <w:webHidden/>
              </w:rPr>
              <w:fldChar w:fldCharType="begin"/>
            </w:r>
            <w:r w:rsidR="00393BF4">
              <w:rPr>
                <w:noProof/>
                <w:webHidden/>
              </w:rPr>
              <w:instrText xml:space="preserve"> PAGEREF _Toc494045541 \h </w:instrText>
            </w:r>
            <w:r w:rsidR="00393BF4">
              <w:rPr>
                <w:noProof/>
                <w:webHidden/>
              </w:rPr>
            </w:r>
            <w:r w:rsidR="00393BF4">
              <w:rPr>
                <w:noProof/>
                <w:webHidden/>
              </w:rPr>
              <w:fldChar w:fldCharType="separate"/>
            </w:r>
            <w:r>
              <w:rPr>
                <w:noProof/>
                <w:webHidden/>
              </w:rPr>
              <w:t>6</w:t>
            </w:r>
            <w:r w:rsidR="00393BF4">
              <w:rPr>
                <w:noProof/>
                <w:webHidden/>
              </w:rPr>
              <w:fldChar w:fldCharType="end"/>
            </w:r>
          </w:hyperlink>
        </w:p>
        <w:p w14:paraId="22C643A0" w14:textId="4ECA2ACA" w:rsidR="00393BF4" w:rsidRDefault="00053B63">
          <w:pPr>
            <w:pStyle w:val="TOC1"/>
            <w:tabs>
              <w:tab w:val="right" w:leader="dot" w:pos="9350"/>
            </w:tabs>
            <w:rPr>
              <w:rFonts w:asciiTheme="minorHAnsi" w:eastAsiaTheme="minorEastAsia" w:hAnsiTheme="minorHAnsi" w:cstheme="minorBidi"/>
              <w:noProof/>
              <w:color w:val="auto"/>
              <w:lang w:eastAsia="en-US"/>
            </w:rPr>
          </w:pPr>
          <w:hyperlink w:anchor="_Toc494045542" w:history="1">
            <w:r w:rsidR="00393BF4" w:rsidRPr="0053620A">
              <w:rPr>
                <w:rStyle w:val="Hyperlink"/>
                <w:noProof/>
              </w:rPr>
              <w:t>Environmental and Social Policy</w:t>
            </w:r>
            <w:r w:rsidR="00393BF4">
              <w:rPr>
                <w:noProof/>
                <w:webHidden/>
              </w:rPr>
              <w:tab/>
            </w:r>
            <w:r w:rsidR="00393BF4">
              <w:rPr>
                <w:noProof/>
                <w:webHidden/>
              </w:rPr>
              <w:fldChar w:fldCharType="begin"/>
            </w:r>
            <w:r w:rsidR="00393BF4">
              <w:rPr>
                <w:noProof/>
                <w:webHidden/>
              </w:rPr>
              <w:instrText xml:space="preserve"> PAGEREF _Toc494045542 \h </w:instrText>
            </w:r>
            <w:r w:rsidR="00393BF4">
              <w:rPr>
                <w:noProof/>
                <w:webHidden/>
              </w:rPr>
            </w:r>
            <w:r w:rsidR="00393BF4">
              <w:rPr>
                <w:noProof/>
                <w:webHidden/>
              </w:rPr>
              <w:fldChar w:fldCharType="separate"/>
            </w:r>
            <w:r>
              <w:rPr>
                <w:noProof/>
                <w:webHidden/>
              </w:rPr>
              <w:t>6</w:t>
            </w:r>
            <w:r w:rsidR="00393BF4">
              <w:rPr>
                <w:noProof/>
                <w:webHidden/>
              </w:rPr>
              <w:fldChar w:fldCharType="end"/>
            </w:r>
          </w:hyperlink>
        </w:p>
        <w:p w14:paraId="2B1D20C6" w14:textId="531C84A1" w:rsidR="00393BF4" w:rsidRDefault="00053B63">
          <w:pPr>
            <w:pStyle w:val="TOC1"/>
            <w:tabs>
              <w:tab w:val="right" w:leader="dot" w:pos="9350"/>
            </w:tabs>
            <w:rPr>
              <w:rFonts w:asciiTheme="minorHAnsi" w:eastAsiaTheme="minorEastAsia" w:hAnsiTheme="minorHAnsi" w:cstheme="minorBidi"/>
              <w:noProof/>
              <w:color w:val="auto"/>
              <w:lang w:eastAsia="en-US"/>
            </w:rPr>
          </w:pPr>
          <w:hyperlink w:anchor="_Toc494045543" w:history="1">
            <w:r w:rsidR="00393BF4" w:rsidRPr="0053620A">
              <w:rPr>
                <w:rStyle w:val="Hyperlink"/>
                <w:noProof/>
              </w:rPr>
              <w:t>Environmental and Social Procedure</w:t>
            </w:r>
            <w:r w:rsidR="00393BF4">
              <w:rPr>
                <w:noProof/>
                <w:webHidden/>
              </w:rPr>
              <w:tab/>
            </w:r>
            <w:r w:rsidR="00393BF4">
              <w:rPr>
                <w:noProof/>
                <w:webHidden/>
              </w:rPr>
              <w:fldChar w:fldCharType="begin"/>
            </w:r>
            <w:r w:rsidR="00393BF4">
              <w:rPr>
                <w:noProof/>
                <w:webHidden/>
              </w:rPr>
              <w:instrText xml:space="preserve"> PAGEREF _Toc494045543 \h </w:instrText>
            </w:r>
            <w:r w:rsidR="00393BF4">
              <w:rPr>
                <w:noProof/>
                <w:webHidden/>
              </w:rPr>
            </w:r>
            <w:r w:rsidR="00393BF4">
              <w:rPr>
                <w:noProof/>
                <w:webHidden/>
              </w:rPr>
              <w:fldChar w:fldCharType="separate"/>
            </w:r>
            <w:r>
              <w:rPr>
                <w:noProof/>
                <w:webHidden/>
              </w:rPr>
              <w:t>7</w:t>
            </w:r>
            <w:r w:rsidR="00393BF4">
              <w:rPr>
                <w:noProof/>
                <w:webHidden/>
              </w:rPr>
              <w:fldChar w:fldCharType="end"/>
            </w:r>
          </w:hyperlink>
        </w:p>
        <w:p w14:paraId="177F28FE" w14:textId="41676813" w:rsidR="00393BF4" w:rsidRDefault="00053B63">
          <w:pPr>
            <w:pStyle w:val="TOC1"/>
            <w:tabs>
              <w:tab w:val="right" w:leader="dot" w:pos="9350"/>
            </w:tabs>
            <w:rPr>
              <w:rFonts w:asciiTheme="minorHAnsi" w:eastAsiaTheme="minorEastAsia" w:hAnsiTheme="minorHAnsi" w:cstheme="minorBidi"/>
              <w:noProof/>
              <w:color w:val="auto"/>
              <w:lang w:eastAsia="en-US"/>
            </w:rPr>
          </w:pPr>
          <w:hyperlink w:anchor="_Toc494045544" w:history="1">
            <w:r w:rsidR="00393BF4" w:rsidRPr="0053620A">
              <w:rPr>
                <w:rStyle w:val="Hyperlink"/>
                <w:noProof/>
              </w:rPr>
              <w:t>Organizational Capacity and Competency</w:t>
            </w:r>
            <w:r w:rsidR="00393BF4">
              <w:rPr>
                <w:noProof/>
                <w:webHidden/>
              </w:rPr>
              <w:tab/>
            </w:r>
            <w:r w:rsidR="00393BF4">
              <w:rPr>
                <w:noProof/>
                <w:webHidden/>
              </w:rPr>
              <w:fldChar w:fldCharType="begin"/>
            </w:r>
            <w:r w:rsidR="00393BF4">
              <w:rPr>
                <w:noProof/>
                <w:webHidden/>
              </w:rPr>
              <w:instrText xml:space="preserve"> PAGEREF _Toc494045544 \h </w:instrText>
            </w:r>
            <w:r w:rsidR="00393BF4">
              <w:rPr>
                <w:noProof/>
                <w:webHidden/>
              </w:rPr>
            </w:r>
            <w:r w:rsidR="00393BF4">
              <w:rPr>
                <w:noProof/>
                <w:webHidden/>
              </w:rPr>
              <w:fldChar w:fldCharType="separate"/>
            </w:r>
            <w:r>
              <w:rPr>
                <w:noProof/>
                <w:webHidden/>
              </w:rPr>
              <w:t>8</w:t>
            </w:r>
            <w:r w:rsidR="00393BF4">
              <w:rPr>
                <w:noProof/>
                <w:webHidden/>
              </w:rPr>
              <w:fldChar w:fldCharType="end"/>
            </w:r>
          </w:hyperlink>
        </w:p>
        <w:p w14:paraId="045462AE" w14:textId="0C1115EB" w:rsidR="00393BF4" w:rsidRDefault="00053B63">
          <w:pPr>
            <w:pStyle w:val="TOC1"/>
            <w:tabs>
              <w:tab w:val="right" w:leader="dot" w:pos="9350"/>
            </w:tabs>
            <w:rPr>
              <w:rFonts w:asciiTheme="minorHAnsi" w:eastAsiaTheme="minorEastAsia" w:hAnsiTheme="minorHAnsi" w:cstheme="minorBidi"/>
              <w:noProof/>
              <w:color w:val="auto"/>
              <w:lang w:eastAsia="en-US"/>
            </w:rPr>
          </w:pPr>
          <w:hyperlink w:anchor="_Toc494045545" w:history="1">
            <w:r w:rsidR="00393BF4" w:rsidRPr="0053620A">
              <w:rPr>
                <w:rStyle w:val="Hyperlink"/>
                <w:noProof/>
              </w:rPr>
              <w:t>Monitoring and Reporting</w:t>
            </w:r>
            <w:r w:rsidR="00393BF4">
              <w:rPr>
                <w:noProof/>
                <w:webHidden/>
              </w:rPr>
              <w:tab/>
            </w:r>
            <w:r w:rsidR="00393BF4">
              <w:rPr>
                <w:noProof/>
                <w:webHidden/>
              </w:rPr>
              <w:fldChar w:fldCharType="begin"/>
            </w:r>
            <w:r w:rsidR="00393BF4">
              <w:rPr>
                <w:noProof/>
                <w:webHidden/>
              </w:rPr>
              <w:instrText xml:space="preserve"> PAGEREF _Toc494045545 \h </w:instrText>
            </w:r>
            <w:r w:rsidR="00393BF4">
              <w:rPr>
                <w:noProof/>
                <w:webHidden/>
              </w:rPr>
            </w:r>
            <w:r w:rsidR="00393BF4">
              <w:rPr>
                <w:noProof/>
                <w:webHidden/>
              </w:rPr>
              <w:fldChar w:fldCharType="separate"/>
            </w:r>
            <w:r>
              <w:rPr>
                <w:noProof/>
                <w:webHidden/>
              </w:rPr>
              <w:t>8</w:t>
            </w:r>
            <w:r w:rsidR="00393BF4">
              <w:rPr>
                <w:noProof/>
                <w:webHidden/>
              </w:rPr>
              <w:fldChar w:fldCharType="end"/>
            </w:r>
          </w:hyperlink>
        </w:p>
        <w:p w14:paraId="345A6ED9" w14:textId="58DCF9C5" w:rsidR="00393BF4" w:rsidRDefault="00053B63">
          <w:pPr>
            <w:pStyle w:val="TOC1"/>
            <w:tabs>
              <w:tab w:val="right" w:leader="dot" w:pos="9350"/>
            </w:tabs>
            <w:rPr>
              <w:rFonts w:asciiTheme="minorHAnsi" w:eastAsiaTheme="minorEastAsia" w:hAnsiTheme="minorHAnsi" w:cstheme="minorBidi"/>
              <w:noProof/>
              <w:color w:val="auto"/>
              <w:lang w:eastAsia="en-US"/>
            </w:rPr>
          </w:pPr>
          <w:hyperlink w:anchor="_Toc494045546" w:history="1">
            <w:r w:rsidR="00393BF4" w:rsidRPr="0053620A">
              <w:rPr>
                <w:rStyle w:val="Hyperlink"/>
                <w:noProof/>
              </w:rPr>
              <w:t>B. Stakeholder Engagement</w:t>
            </w:r>
            <w:r w:rsidR="00393BF4">
              <w:rPr>
                <w:noProof/>
                <w:webHidden/>
              </w:rPr>
              <w:tab/>
            </w:r>
            <w:r w:rsidR="00393BF4">
              <w:rPr>
                <w:noProof/>
                <w:webHidden/>
              </w:rPr>
              <w:fldChar w:fldCharType="begin"/>
            </w:r>
            <w:r w:rsidR="00393BF4">
              <w:rPr>
                <w:noProof/>
                <w:webHidden/>
              </w:rPr>
              <w:instrText xml:space="preserve"> PAGEREF _Toc494045546 \h </w:instrText>
            </w:r>
            <w:r w:rsidR="00393BF4">
              <w:rPr>
                <w:noProof/>
                <w:webHidden/>
              </w:rPr>
            </w:r>
            <w:r w:rsidR="00393BF4">
              <w:rPr>
                <w:noProof/>
                <w:webHidden/>
              </w:rPr>
              <w:fldChar w:fldCharType="separate"/>
            </w:r>
            <w:r>
              <w:rPr>
                <w:noProof/>
                <w:webHidden/>
              </w:rPr>
              <w:t>9</w:t>
            </w:r>
            <w:r w:rsidR="00393BF4">
              <w:rPr>
                <w:noProof/>
                <w:webHidden/>
              </w:rPr>
              <w:fldChar w:fldCharType="end"/>
            </w:r>
          </w:hyperlink>
        </w:p>
        <w:p w14:paraId="445B0552" w14:textId="1C11BD48" w:rsidR="00C01835" w:rsidRDefault="00C01835">
          <w:r>
            <w:rPr>
              <w:b/>
              <w:bCs/>
              <w:noProof/>
            </w:rPr>
            <w:fldChar w:fldCharType="end"/>
          </w:r>
        </w:p>
      </w:sdtContent>
    </w:sdt>
    <w:p w14:paraId="4345CFC5" w14:textId="205EA449" w:rsidR="00C01835" w:rsidRPr="00C01835" w:rsidRDefault="00C01835" w:rsidP="00C01835">
      <w:pPr>
        <w:spacing w:after="0" w:line="240" w:lineRule="auto"/>
      </w:pPr>
      <w:r w:rsidRPr="00C01835">
        <w:br w:type="page"/>
      </w:r>
      <w:r w:rsidR="00AA652B" w:rsidRPr="00F73059">
        <w:rPr>
          <w:i/>
          <w:iCs/>
          <w:noProof/>
          <w:sz w:val="24"/>
          <w:szCs w:val="24"/>
          <w:lang w:eastAsia="en-US"/>
        </w:rPr>
        <mc:AlternateContent>
          <mc:Choice Requires="wps">
            <w:drawing>
              <wp:anchor distT="45720" distB="45720" distL="114300" distR="114300" simplePos="0" relativeHeight="251689984" behindDoc="0" locked="0" layoutInCell="1" allowOverlap="1" wp14:anchorId="69D13D63" wp14:editId="7D55A1E2">
                <wp:simplePos x="0" y="0"/>
                <wp:positionH relativeFrom="page">
                  <wp:posOffset>7150735</wp:posOffset>
                </wp:positionH>
                <wp:positionV relativeFrom="page">
                  <wp:posOffset>8229600</wp:posOffset>
                </wp:positionV>
                <wp:extent cx="914400" cy="301752"/>
                <wp:effectExtent l="1587" t="0" r="1588" b="1587"/>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002A41D" w14:textId="77777777" w:rsidR="00AA652B" w:rsidRPr="00F73059" w:rsidRDefault="00AA652B" w:rsidP="00AA652B">
                            <w:pPr>
                              <w:jc w:val="center"/>
                              <w:rPr>
                                <w:b/>
                                <w:color w:val="FFFFFF" w:themeColor="background1"/>
                                <w:sz w:val="28"/>
                                <w:szCs w:val="28"/>
                              </w:rPr>
                            </w:pPr>
                            <w:r>
                              <w:rPr>
                                <w:b/>
                                <w:color w:val="FFFFFF" w:themeColor="background1"/>
                                <w:sz w:val="28"/>
                                <w:szCs w:val="28"/>
                              </w:rPr>
                              <w:t>ESS9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13D63" id="_x0000_t202" coordsize="21600,21600" o:spt="202" path="m,l,21600r21600,l21600,xe">
                <v:stroke joinstyle="miter"/>
                <v:path gradientshapeok="t" o:connecttype="rect"/>
              </v:shapetype>
              <v:shape id="Text Box 3" o:spid="_x0000_s1026" type="#_x0000_t202" style="position:absolute;left:0;text-align:left;margin-left:563.05pt;margin-top:9in;width:1in;height:23.75pt;rotation:-90;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" fillcolor="#70ad47 [3209]" stroked="f">
                <v:textbox>
                  <w:txbxContent>
                    <w:p w14:paraId="2002A41D" w14:textId="77777777" w:rsidR="00AA652B" w:rsidRPr="00F73059" w:rsidRDefault="00AA652B" w:rsidP="00AA652B">
                      <w:pPr>
                        <w:jc w:val="center"/>
                        <w:rPr>
                          <w:b/>
                          <w:color w:val="FFFFFF" w:themeColor="background1"/>
                          <w:sz w:val="28"/>
                          <w:szCs w:val="28"/>
                        </w:rPr>
                      </w:pPr>
                      <w:r>
                        <w:rPr>
                          <w:b/>
                          <w:color w:val="FFFFFF" w:themeColor="background1"/>
                          <w:sz w:val="28"/>
                          <w:szCs w:val="28"/>
                        </w:rPr>
                        <w:t>ESS9</w:t>
                      </w:r>
                    </w:p>
                  </w:txbxContent>
                </v:textbox>
                <w10:wrap anchorx="page" anchory="page"/>
              </v:shape>
            </w:pict>
          </mc:Fallback>
        </mc:AlternateContent>
      </w:r>
    </w:p>
    <w:tbl>
      <w:tblPr>
        <w:tblStyle w:val="TableGrid0"/>
        <w:tblW w:w="9355" w:type="dxa"/>
        <w:tblLayout w:type="fixed"/>
        <w:tblLook w:val="04A0" w:firstRow="1" w:lastRow="0" w:firstColumn="1" w:lastColumn="0" w:noHBand="0" w:noVBand="1"/>
      </w:tblPr>
      <w:tblGrid>
        <w:gridCol w:w="9355"/>
      </w:tblGrid>
      <w:tr w:rsidR="008400EF" w:rsidRPr="00C01835" w14:paraId="3043DA53" w14:textId="77777777" w:rsidTr="008400EF">
        <w:tc>
          <w:tcPr>
            <w:tcW w:w="9355" w:type="dxa"/>
            <w:shd w:val="clear" w:color="auto" w:fill="E7E6E6" w:themeFill="background2"/>
          </w:tcPr>
          <w:p w14:paraId="2968B065" w14:textId="3A00944B" w:rsidR="008400EF" w:rsidRPr="00C01835" w:rsidRDefault="008400EF" w:rsidP="00C01835">
            <w:pPr>
              <w:pStyle w:val="Heading1"/>
              <w:numPr>
                <w:ilvl w:val="0"/>
                <w:numId w:val="0"/>
              </w:numPr>
              <w:spacing w:before="0" w:line="240" w:lineRule="auto"/>
              <w:jc w:val="left"/>
              <w:outlineLvl w:val="0"/>
              <w:rPr>
                <w:i/>
                <w:sz w:val="22"/>
                <w:szCs w:val="22"/>
              </w:rPr>
            </w:pPr>
            <w:bookmarkStart w:id="0" w:name="_Toc494045537"/>
            <w:r w:rsidRPr="00C01835">
              <w:rPr>
                <w:i/>
                <w:color w:val="auto"/>
                <w:sz w:val="22"/>
                <w:szCs w:val="22"/>
              </w:rPr>
              <w:lastRenderedPageBreak/>
              <w:t>Introduction</w:t>
            </w:r>
            <w:bookmarkEnd w:id="0"/>
          </w:p>
        </w:tc>
      </w:tr>
    </w:tbl>
    <w:p w14:paraId="361B6E81" w14:textId="77777777" w:rsidR="008400EF" w:rsidRPr="00C01835" w:rsidRDefault="008400EF" w:rsidP="00C01835">
      <w:pPr>
        <w:spacing w:after="0" w:line="240" w:lineRule="auto"/>
        <w:rPr>
          <w:b/>
          <w:bCs/>
          <w:sz w:val="24"/>
          <w:szCs w:val="24"/>
        </w:rPr>
      </w:pP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2646B311" w14:textId="77777777" w:rsidTr="00C01835">
        <w:tc>
          <w:tcPr>
            <w:tcW w:w="9355" w:type="dxa"/>
            <w:shd w:val="clear" w:color="auto" w:fill="E2EFD9" w:themeFill="accent6" w:themeFillTint="33"/>
          </w:tcPr>
          <w:p w14:paraId="0AF2F8FD" w14:textId="527CCAA8" w:rsidR="008400EF" w:rsidRPr="00E64669" w:rsidRDefault="008400EF" w:rsidP="00E64669">
            <w:pPr>
              <w:pStyle w:val="ESSpara"/>
              <w:spacing w:after="0"/>
              <w:ind w:left="0" w:firstLine="0"/>
              <w:rPr>
                <w:i/>
                <w:sz w:val="20"/>
                <w:szCs w:val="20"/>
              </w:rPr>
            </w:pPr>
            <w:r w:rsidRPr="00E64669">
              <w:rPr>
                <w:i/>
                <w:sz w:val="20"/>
                <w:szCs w:val="20"/>
              </w:rPr>
              <w:t xml:space="preserve">ESS9 recognizes that strong domestic capital and financial markets and access to finance are important for economic development, growth and poverty reduction. The Bank is committed to supporting sustainable financial sector development and enhancing the role of domestic capital and financial markets. </w:t>
            </w:r>
          </w:p>
        </w:tc>
      </w:tr>
    </w:tbl>
    <w:p w14:paraId="01504CA6" w14:textId="77777777" w:rsidR="008400EF" w:rsidRPr="00C01835" w:rsidRDefault="008400EF" w:rsidP="00C01835">
      <w:pPr>
        <w:tabs>
          <w:tab w:val="left" w:pos="2204"/>
        </w:tabs>
        <w:spacing w:after="0" w:line="240" w:lineRule="auto"/>
      </w:pP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2B6F3095" w14:textId="77777777" w:rsidTr="00C01835">
        <w:tc>
          <w:tcPr>
            <w:tcW w:w="9355" w:type="dxa"/>
            <w:shd w:val="clear" w:color="auto" w:fill="E2EFD9" w:themeFill="accent6" w:themeFillTint="33"/>
          </w:tcPr>
          <w:p w14:paraId="119F6841" w14:textId="6333774E" w:rsidR="008400EF" w:rsidRPr="00C01835" w:rsidRDefault="008400EF" w:rsidP="00E64669">
            <w:pPr>
              <w:pStyle w:val="ESSpara"/>
              <w:spacing w:after="0"/>
              <w:ind w:left="0" w:firstLine="0"/>
              <w:rPr>
                <w:bCs/>
                <w:i/>
                <w:iCs/>
                <w:sz w:val="20"/>
                <w:szCs w:val="20"/>
              </w:rPr>
            </w:pPr>
            <w:r w:rsidRPr="00C01835">
              <w:rPr>
                <w:bCs/>
                <w:i/>
                <w:iCs/>
                <w:sz w:val="20"/>
                <w:szCs w:val="20"/>
              </w:rPr>
              <w:t xml:space="preserve">FIs are required to monitor and manage the environmental and social risks and impacts of their portfolio and FI subprojects, and monitor portfolio risk, as appropriate to the nature of intermediated financing. The way in which the FI will manage its portfolio will take various forms, depending on a number of considerations, including the capacity of the FI and the nature and scope of the funding to be provided by the FI. </w:t>
            </w:r>
          </w:p>
        </w:tc>
      </w:tr>
    </w:tbl>
    <w:p w14:paraId="63A7A0B3" w14:textId="77777777" w:rsidR="008400EF" w:rsidRPr="00C01835" w:rsidRDefault="008400EF" w:rsidP="00C01835">
      <w:pPr>
        <w:tabs>
          <w:tab w:val="left" w:pos="2204"/>
        </w:tabs>
        <w:spacing w:after="0" w:line="240" w:lineRule="auto"/>
      </w:pP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4121C5A4" w14:textId="77777777" w:rsidTr="00C01835">
        <w:tc>
          <w:tcPr>
            <w:tcW w:w="9355" w:type="dxa"/>
            <w:shd w:val="clear" w:color="auto" w:fill="E2EFD9" w:themeFill="accent6" w:themeFillTint="33"/>
          </w:tcPr>
          <w:p w14:paraId="30CCF00C" w14:textId="77777777" w:rsidR="008400EF" w:rsidRPr="00C01835" w:rsidRDefault="008400EF" w:rsidP="00E64669">
            <w:pPr>
              <w:pStyle w:val="ESSpara"/>
              <w:spacing w:after="0"/>
              <w:ind w:left="-19" w:firstLine="0"/>
              <w:rPr>
                <w:bCs/>
                <w:i/>
                <w:iCs/>
                <w:sz w:val="20"/>
                <w:szCs w:val="20"/>
              </w:rPr>
            </w:pPr>
            <w:r w:rsidRPr="00C01835">
              <w:rPr>
                <w:i/>
                <w:sz w:val="20"/>
                <w:szCs w:val="20"/>
              </w:rPr>
              <w:t xml:space="preserve">FIs are required to develop and maintain, in the form of an Environmental and Social Management System (ESMS), effective environmental and social systems, procedures and capacity for assessing, managing, and monitoring risks and impacts of subprojects, as well as managing overall portfolio risk in a responsible manner. </w:t>
            </w:r>
          </w:p>
        </w:tc>
      </w:tr>
    </w:tbl>
    <w:p w14:paraId="47A7F0C8" w14:textId="77777777" w:rsidR="008400EF" w:rsidRPr="00C01835" w:rsidRDefault="008400EF" w:rsidP="00C01835">
      <w:pPr>
        <w:tabs>
          <w:tab w:val="left" w:pos="2204"/>
        </w:tabs>
        <w:spacing w:after="0" w:line="240" w:lineRule="auto"/>
      </w:pPr>
    </w:p>
    <w:tbl>
      <w:tblPr>
        <w:tblStyle w:val="TableGrid0"/>
        <w:tblW w:w="9355" w:type="dxa"/>
        <w:tblLayout w:type="fixed"/>
        <w:tblLook w:val="04A0" w:firstRow="1" w:lastRow="0" w:firstColumn="1" w:lastColumn="0" w:noHBand="0" w:noVBand="1"/>
      </w:tblPr>
      <w:tblGrid>
        <w:gridCol w:w="9355"/>
      </w:tblGrid>
      <w:tr w:rsidR="008400EF" w:rsidRPr="00C01835" w14:paraId="1AC83496" w14:textId="77777777" w:rsidTr="008400EF">
        <w:tc>
          <w:tcPr>
            <w:tcW w:w="9355" w:type="dxa"/>
            <w:shd w:val="clear" w:color="auto" w:fill="E7E6E6" w:themeFill="background2"/>
          </w:tcPr>
          <w:p w14:paraId="31BF8118" w14:textId="77777777" w:rsidR="008400EF" w:rsidRPr="00C01835" w:rsidRDefault="008400EF" w:rsidP="00C01835">
            <w:pPr>
              <w:pStyle w:val="Heading1"/>
              <w:numPr>
                <w:ilvl w:val="0"/>
                <w:numId w:val="0"/>
              </w:numPr>
              <w:spacing w:before="0" w:line="240" w:lineRule="auto"/>
              <w:jc w:val="left"/>
              <w:outlineLvl w:val="0"/>
              <w:rPr>
                <w:b w:val="0"/>
                <w:bCs w:val="0"/>
                <w:i/>
                <w:iCs/>
              </w:rPr>
            </w:pPr>
            <w:bookmarkStart w:id="1" w:name="_Toc494045538"/>
            <w:r w:rsidRPr="00C01835">
              <w:rPr>
                <w:i/>
                <w:color w:val="auto"/>
                <w:sz w:val="22"/>
                <w:szCs w:val="22"/>
              </w:rPr>
              <w:t>Objectives</w:t>
            </w:r>
            <w:bookmarkEnd w:id="1"/>
          </w:p>
        </w:tc>
      </w:tr>
    </w:tbl>
    <w:p w14:paraId="0D96212F" w14:textId="6B26B47E" w:rsidR="008400EF" w:rsidRPr="00C01835" w:rsidRDefault="00B17B75" w:rsidP="00C01835">
      <w:pPr>
        <w:tabs>
          <w:tab w:val="left" w:pos="2204"/>
        </w:tabs>
        <w:spacing w:after="0" w:line="240" w:lineRule="auto"/>
      </w:pPr>
      <w:r w:rsidRPr="00F73059">
        <w:rPr>
          <w:i/>
          <w:iCs/>
          <w:noProof/>
          <w:sz w:val="24"/>
          <w:szCs w:val="24"/>
          <w:lang w:eastAsia="en-US"/>
        </w:rPr>
        <mc:AlternateContent>
          <mc:Choice Requires="wps">
            <w:drawing>
              <wp:anchor distT="45720" distB="45720" distL="114300" distR="114300" simplePos="0" relativeHeight="251651584" behindDoc="0" locked="0" layoutInCell="1" allowOverlap="1" wp14:anchorId="46E73F02" wp14:editId="25D3B966">
                <wp:simplePos x="0" y="0"/>
                <wp:positionH relativeFrom="page">
                  <wp:posOffset>7150735</wp:posOffset>
                </wp:positionH>
                <wp:positionV relativeFrom="page">
                  <wp:posOffset>8229600</wp:posOffset>
                </wp:positionV>
                <wp:extent cx="914400" cy="301752"/>
                <wp:effectExtent l="1587" t="0" r="1588" b="1587"/>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79D90C9" w14:textId="77777777" w:rsidR="005A4306" w:rsidRPr="00F73059" w:rsidRDefault="005A4306" w:rsidP="00B17B75">
                            <w:pPr>
                              <w:jc w:val="center"/>
                              <w:rPr>
                                <w:b/>
                                <w:color w:val="FFFFFF" w:themeColor="background1"/>
                                <w:sz w:val="28"/>
                                <w:szCs w:val="28"/>
                              </w:rPr>
                            </w:pPr>
                            <w:r>
                              <w:rPr>
                                <w:b/>
                                <w:color w:val="FFFFFF" w:themeColor="background1"/>
                                <w:sz w:val="28"/>
                                <w:szCs w:val="28"/>
                              </w:rPr>
                              <w:t>ESS9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73F02" id="Text Box 1" o:spid="_x0000_s1027" type="#_x0000_t202" style="position:absolute;left:0;text-align:left;margin-left:563.05pt;margin-top:9in;width:1in;height:23.75pt;rotation:-90;z-index:2516515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" fillcolor="#70ad47 [3209]" stroked="f">
                <v:textbox>
                  <w:txbxContent>
                    <w:p w14:paraId="579D90C9" w14:textId="77777777" w:rsidR="005A4306" w:rsidRPr="00F73059" w:rsidRDefault="005A4306" w:rsidP="00B17B75">
                      <w:pPr>
                        <w:jc w:val="center"/>
                        <w:rPr>
                          <w:b/>
                          <w:color w:val="FFFFFF" w:themeColor="background1"/>
                          <w:sz w:val="28"/>
                          <w:szCs w:val="28"/>
                        </w:rPr>
                      </w:pPr>
                      <w:r>
                        <w:rPr>
                          <w:b/>
                          <w:color w:val="FFFFFF" w:themeColor="background1"/>
                          <w:sz w:val="28"/>
                          <w:szCs w:val="28"/>
                        </w:rPr>
                        <w:t>ESS9</w:t>
                      </w:r>
                    </w:p>
                  </w:txbxContent>
                </v:textbox>
                <w10:wrap anchorx="page" anchory="page"/>
              </v:shape>
            </w:pict>
          </mc:Fallback>
        </mc:AlternateContent>
      </w: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559E8A26" w14:textId="77777777" w:rsidTr="00C01835">
        <w:trPr>
          <w:trHeight w:val="359"/>
        </w:trPr>
        <w:tc>
          <w:tcPr>
            <w:tcW w:w="9355" w:type="dxa"/>
            <w:shd w:val="clear" w:color="auto" w:fill="E2EFD9" w:themeFill="accent6" w:themeFillTint="33"/>
          </w:tcPr>
          <w:p w14:paraId="5383AE83" w14:textId="77777777" w:rsidR="008400EF" w:rsidRPr="00C01835" w:rsidRDefault="008400EF" w:rsidP="00E64669">
            <w:pPr>
              <w:pStyle w:val="essobjbull"/>
              <w:numPr>
                <w:ilvl w:val="0"/>
                <w:numId w:val="29"/>
              </w:numPr>
              <w:tabs>
                <w:tab w:val="clear" w:pos="1080"/>
                <w:tab w:val="left" w:pos="341"/>
              </w:tabs>
              <w:spacing w:after="0"/>
              <w:rPr>
                <w:bCs/>
                <w:i/>
                <w:iCs/>
                <w:sz w:val="20"/>
                <w:szCs w:val="20"/>
              </w:rPr>
            </w:pPr>
            <w:r w:rsidRPr="00C01835">
              <w:rPr>
                <w:bCs/>
                <w:i/>
                <w:iCs/>
                <w:sz w:val="20"/>
                <w:szCs w:val="20"/>
              </w:rPr>
              <w:t xml:space="preserve">To set out how the FI will assess and manage environmental and social risks and impacts associated with the subprojects it finances. </w:t>
            </w:r>
          </w:p>
          <w:p w14:paraId="7DCAB865" w14:textId="77777777" w:rsidR="008400EF" w:rsidRPr="00C01835" w:rsidRDefault="008400EF" w:rsidP="00E64669">
            <w:pPr>
              <w:pStyle w:val="essobjbull"/>
              <w:numPr>
                <w:ilvl w:val="0"/>
                <w:numId w:val="29"/>
              </w:numPr>
              <w:tabs>
                <w:tab w:val="clear" w:pos="1080"/>
                <w:tab w:val="left" w:pos="341"/>
              </w:tabs>
              <w:spacing w:after="0"/>
              <w:rPr>
                <w:bCs/>
                <w:i/>
                <w:iCs/>
                <w:sz w:val="20"/>
                <w:szCs w:val="20"/>
              </w:rPr>
            </w:pPr>
            <w:r w:rsidRPr="00C01835">
              <w:rPr>
                <w:bCs/>
                <w:i/>
                <w:iCs/>
                <w:sz w:val="20"/>
                <w:szCs w:val="20"/>
              </w:rPr>
              <w:t xml:space="preserve">To promote good environmental and social management practices in the subprojects the FI finances. </w:t>
            </w:r>
          </w:p>
          <w:p w14:paraId="6510EE9B" w14:textId="77777777" w:rsidR="008400EF" w:rsidRPr="00C01835" w:rsidRDefault="008400EF" w:rsidP="00E64669">
            <w:pPr>
              <w:pStyle w:val="essobjbull"/>
              <w:numPr>
                <w:ilvl w:val="0"/>
                <w:numId w:val="29"/>
              </w:numPr>
              <w:spacing w:after="0"/>
              <w:rPr>
                <w:bCs/>
                <w:i/>
                <w:iCs/>
                <w:sz w:val="20"/>
                <w:szCs w:val="20"/>
              </w:rPr>
            </w:pPr>
            <w:r w:rsidRPr="00C01835">
              <w:rPr>
                <w:bCs/>
                <w:i/>
                <w:iCs/>
                <w:sz w:val="20"/>
                <w:szCs w:val="20"/>
              </w:rPr>
              <w:t>To promote good environmental and sound human resources management within the FI.</w:t>
            </w:r>
          </w:p>
        </w:tc>
      </w:tr>
    </w:tbl>
    <w:p w14:paraId="3E26A57A" w14:textId="77777777" w:rsidR="008400EF" w:rsidRPr="00C01835" w:rsidRDefault="008400EF" w:rsidP="00C01835">
      <w:pPr>
        <w:tabs>
          <w:tab w:val="left" w:pos="2204"/>
          <w:tab w:val="left" w:pos="3490"/>
        </w:tabs>
        <w:spacing w:after="0" w:line="240" w:lineRule="auto"/>
      </w:pPr>
    </w:p>
    <w:tbl>
      <w:tblPr>
        <w:tblStyle w:val="TableGrid0"/>
        <w:tblW w:w="9355" w:type="dxa"/>
        <w:tblLayout w:type="fixed"/>
        <w:tblLook w:val="04A0" w:firstRow="1" w:lastRow="0" w:firstColumn="1" w:lastColumn="0" w:noHBand="0" w:noVBand="1"/>
      </w:tblPr>
      <w:tblGrid>
        <w:gridCol w:w="9355"/>
      </w:tblGrid>
      <w:tr w:rsidR="008400EF" w:rsidRPr="00C01835" w14:paraId="03859E59" w14:textId="77777777" w:rsidTr="008400EF">
        <w:tc>
          <w:tcPr>
            <w:tcW w:w="9355" w:type="dxa"/>
            <w:shd w:val="clear" w:color="auto" w:fill="E7E6E6" w:themeFill="background2"/>
          </w:tcPr>
          <w:p w14:paraId="6BA712B5" w14:textId="77777777" w:rsidR="008400EF" w:rsidRPr="00C01835" w:rsidRDefault="008400EF" w:rsidP="00C01835">
            <w:pPr>
              <w:pStyle w:val="Heading1"/>
              <w:numPr>
                <w:ilvl w:val="0"/>
                <w:numId w:val="0"/>
              </w:numPr>
              <w:spacing w:before="0" w:line="240" w:lineRule="auto"/>
              <w:jc w:val="left"/>
              <w:outlineLvl w:val="0"/>
              <w:rPr>
                <w:b w:val="0"/>
                <w:bCs w:val="0"/>
                <w:i/>
                <w:iCs/>
              </w:rPr>
            </w:pPr>
            <w:bookmarkStart w:id="2" w:name="_Toc494045539"/>
            <w:r w:rsidRPr="00C01835">
              <w:rPr>
                <w:i/>
                <w:color w:val="auto"/>
                <w:sz w:val="22"/>
                <w:szCs w:val="22"/>
              </w:rPr>
              <w:t>Scope of Application</w:t>
            </w:r>
            <w:bookmarkEnd w:id="2"/>
          </w:p>
        </w:tc>
      </w:tr>
    </w:tbl>
    <w:p w14:paraId="381861B9" w14:textId="77777777" w:rsidR="008400EF" w:rsidRPr="00C01835" w:rsidRDefault="008400EF" w:rsidP="00C01835">
      <w:pPr>
        <w:tabs>
          <w:tab w:val="left" w:pos="2204"/>
          <w:tab w:val="left" w:pos="3490"/>
        </w:tabs>
        <w:spacing w:after="0" w:line="240" w:lineRule="auto"/>
      </w:pP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75933C85" w14:textId="77777777" w:rsidTr="00C01835">
        <w:tc>
          <w:tcPr>
            <w:tcW w:w="9355" w:type="dxa"/>
            <w:shd w:val="clear" w:color="auto" w:fill="E2EFD9" w:themeFill="accent6" w:themeFillTint="33"/>
          </w:tcPr>
          <w:p w14:paraId="664B65F4" w14:textId="54C2E039" w:rsidR="008400EF" w:rsidRPr="00C01835" w:rsidRDefault="008400EF" w:rsidP="00C01835">
            <w:pPr>
              <w:pStyle w:val="ESSpara"/>
              <w:spacing w:after="0"/>
              <w:ind w:left="-23" w:firstLine="0"/>
              <w:rPr>
                <w:bCs/>
                <w:i/>
                <w:iCs/>
                <w:sz w:val="20"/>
                <w:szCs w:val="20"/>
              </w:rPr>
            </w:pPr>
            <w:r w:rsidRPr="00C01835">
              <w:rPr>
                <w:bCs/>
                <w:i/>
                <w:iCs/>
                <w:sz w:val="20"/>
                <w:szCs w:val="20"/>
              </w:rPr>
              <w:t>This ESS applies to Financial Intermediaries (FIs) that receive financial support from the Bank. FIs include public and private financial services providers, including national and regional development banks, which channel financial resources to a range of economic activities across industry sectors</w:t>
            </w:r>
            <w:r w:rsidR="00732872">
              <w:rPr>
                <w:bCs/>
                <w:i/>
                <w:iCs/>
                <w:sz w:val="20"/>
                <w:szCs w:val="20"/>
              </w:rPr>
              <w:t>.</w:t>
            </w:r>
            <w:r w:rsidRPr="00C01835">
              <w:rPr>
                <w:bCs/>
                <w:i/>
                <w:iCs/>
                <w:sz w:val="20"/>
                <w:szCs w:val="20"/>
                <w:vertAlign w:val="superscript"/>
              </w:rPr>
              <w:t>1</w:t>
            </w:r>
            <w:r w:rsidRPr="00C01835">
              <w:rPr>
                <w:bCs/>
                <w:i/>
                <w:iCs/>
                <w:sz w:val="20"/>
                <w:szCs w:val="20"/>
              </w:rPr>
              <w:t xml:space="preserve"> Financial intermediation also includes provision of financing or guarantees by FIs to other FIs. For the purposes of this ESS, the term “FI subproject” refers to projects financed by FIs with support from the Bank</w:t>
            </w:r>
            <w:r w:rsidR="00732872">
              <w:rPr>
                <w:bCs/>
                <w:i/>
                <w:iCs/>
                <w:sz w:val="20"/>
                <w:szCs w:val="20"/>
              </w:rPr>
              <w:t>.</w:t>
            </w:r>
            <w:r w:rsidRPr="00C01835">
              <w:rPr>
                <w:bCs/>
                <w:i/>
                <w:iCs/>
                <w:sz w:val="20"/>
                <w:szCs w:val="20"/>
                <w:vertAlign w:val="superscript"/>
              </w:rPr>
              <w:t>2</w:t>
            </w:r>
            <w:r w:rsidRPr="00C01835">
              <w:rPr>
                <w:bCs/>
                <w:i/>
                <w:iCs/>
                <w:sz w:val="20"/>
                <w:szCs w:val="20"/>
              </w:rPr>
              <w:t xml:space="preserve"> Where the project involves on-lending by the FI to another FI, the term “FI subproject” will include the subprojects of each subsequent FI.</w:t>
            </w:r>
          </w:p>
        </w:tc>
      </w:tr>
      <w:tr w:rsidR="008400EF" w:rsidRPr="00C01835" w14:paraId="285EE64B" w14:textId="77777777" w:rsidTr="00C01835">
        <w:tc>
          <w:tcPr>
            <w:tcW w:w="9355" w:type="dxa"/>
            <w:shd w:val="clear" w:color="auto" w:fill="E2EFD9" w:themeFill="accent6" w:themeFillTint="33"/>
          </w:tcPr>
          <w:p w14:paraId="20B0594F" w14:textId="43ECE74B" w:rsidR="008400EF" w:rsidRPr="00C01835" w:rsidRDefault="008400EF" w:rsidP="00C01835">
            <w:pPr>
              <w:pStyle w:val="ESSpara"/>
              <w:numPr>
                <w:ilvl w:val="0"/>
                <w:numId w:val="0"/>
              </w:numPr>
              <w:spacing w:after="0"/>
              <w:ind w:left="-23"/>
              <w:rPr>
                <w:bCs/>
                <w:i/>
                <w:iCs/>
                <w:sz w:val="20"/>
                <w:szCs w:val="20"/>
              </w:rPr>
            </w:pPr>
            <w:r w:rsidRPr="00C01835">
              <w:rPr>
                <w:bCs/>
                <w:i/>
                <w:iCs/>
                <w:sz w:val="20"/>
                <w:szCs w:val="20"/>
              </w:rPr>
              <w:t>F</w:t>
            </w:r>
            <w:r w:rsidR="009763F1" w:rsidRPr="00C01835">
              <w:rPr>
                <w:bCs/>
                <w:i/>
                <w:iCs/>
                <w:sz w:val="20"/>
                <w:szCs w:val="20"/>
              </w:rPr>
              <w:t xml:space="preserve">ootnote </w:t>
            </w:r>
            <w:r w:rsidRPr="00C01835">
              <w:rPr>
                <w:bCs/>
                <w:i/>
                <w:iCs/>
                <w:sz w:val="20"/>
                <w:szCs w:val="20"/>
              </w:rPr>
              <w:t>1.</w:t>
            </w:r>
            <w:r w:rsidRPr="00C01835">
              <w:rPr>
                <w:rFonts w:eastAsiaTheme="minorHAnsi"/>
                <w:sz w:val="20"/>
                <w:szCs w:val="20"/>
                <w:lang w:eastAsia="en-US"/>
              </w:rPr>
              <w:t xml:space="preserve"> </w:t>
            </w:r>
            <w:r w:rsidRPr="00C01835">
              <w:rPr>
                <w:bCs/>
                <w:i/>
                <w:iCs/>
                <w:sz w:val="20"/>
                <w:szCs w:val="20"/>
              </w:rPr>
              <w:t xml:space="preserve">Such FIs use various financial products such as project finance, corporate finance, medium and small enterprise finance, microfinance, housing finance, leasing, and trade finance. This ESS covers all types of financing and financial products provided by FIs that are targeted to productive business activities. </w:t>
            </w:r>
          </w:p>
        </w:tc>
      </w:tr>
      <w:tr w:rsidR="008400EF" w:rsidRPr="00C01835" w14:paraId="62CA4BD1" w14:textId="77777777" w:rsidTr="00C01835">
        <w:tc>
          <w:tcPr>
            <w:tcW w:w="9355" w:type="dxa"/>
            <w:shd w:val="clear" w:color="auto" w:fill="E2EFD9" w:themeFill="accent6" w:themeFillTint="33"/>
          </w:tcPr>
          <w:p w14:paraId="5BB5A6BB" w14:textId="537AFCCC" w:rsidR="00167D7D" w:rsidRPr="00C01835" w:rsidRDefault="008400EF" w:rsidP="00C01835">
            <w:pPr>
              <w:pStyle w:val="ESSpara"/>
              <w:numPr>
                <w:ilvl w:val="0"/>
                <w:numId w:val="0"/>
              </w:numPr>
              <w:spacing w:after="0"/>
              <w:ind w:left="-23"/>
              <w:rPr>
                <w:bCs/>
                <w:i/>
                <w:iCs/>
                <w:sz w:val="20"/>
                <w:szCs w:val="20"/>
              </w:rPr>
            </w:pPr>
            <w:r w:rsidRPr="00C01835">
              <w:rPr>
                <w:bCs/>
                <w:i/>
                <w:iCs/>
                <w:sz w:val="20"/>
                <w:szCs w:val="20"/>
              </w:rPr>
              <w:t>F</w:t>
            </w:r>
            <w:r w:rsidR="009763F1" w:rsidRPr="00C01835">
              <w:rPr>
                <w:bCs/>
                <w:i/>
                <w:iCs/>
                <w:sz w:val="20"/>
                <w:szCs w:val="20"/>
              </w:rPr>
              <w:t xml:space="preserve">ootnote </w:t>
            </w:r>
            <w:r w:rsidRPr="00C01835">
              <w:rPr>
                <w:bCs/>
                <w:i/>
                <w:iCs/>
                <w:sz w:val="20"/>
                <w:szCs w:val="20"/>
              </w:rPr>
              <w:t>2. “FI subprojects” are defined as projects or activities financed by an FI. Where an FI provides financing, or guarantees to other FIs, “FI subprojects” are defined as projects or activities financed by the latter FI with support from the former FI.</w:t>
            </w:r>
          </w:p>
        </w:tc>
      </w:tr>
    </w:tbl>
    <w:p w14:paraId="05CB82BF" w14:textId="77777777" w:rsidR="008400EF" w:rsidRPr="00C01835" w:rsidRDefault="008400EF" w:rsidP="00C01835">
      <w:pPr>
        <w:tabs>
          <w:tab w:val="left" w:pos="2204"/>
        </w:tabs>
        <w:spacing w:after="0" w:line="240" w:lineRule="auto"/>
      </w:pPr>
    </w:p>
    <w:p w14:paraId="6B63897D" w14:textId="71636731" w:rsidR="008400EF" w:rsidRPr="00C01835" w:rsidRDefault="008400EF" w:rsidP="00C01835">
      <w:pPr>
        <w:autoSpaceDE w:val="0"/>
        <w:autoSpaceDN w:val="0"/>
        <w:adjustRightInd w:val="0"/>
        <w:spacing w:after="0" w:line="240" w:lineRule="auto"/>
        <w:rPr>
          <w:rFonts w:cstheme="minorHAnsi"/>
        </w:rPr>
      </w:pPr>
      <w:r w:rsidRPr="00C01835">
        <w:rPr>
          <w:rFonts w:cstheme="minorHAnsi"/>
          <w:b/>
        </w:rPr>
        <w:t>GN4.1.</w:t>
      </w:r>
      <w:r w:rsidRPr="00C01835">
        <w:rPr>
          <w:rFonts w:cstheme="minorHAnsi"/>
        </w:rPr>
        <w:t xml:space="preserve"> </w:t>
      </w:r>
      <w:r w:rsidR="00FE2CE9" w:rsidRPr="00C01835">
        <w:rPr>
          <w:rFonts w:cstheme="minorHAnsi"/>
        </w:rPr>
        <w:t xml:space="preserve">World Bank </w:t>
      </w:r>
      <w:r w:rsidR="00E37020">
        <w:rPr>
          <w:rFonts w:cstheme="minorHAnsi"/>
        </w:rPr>
        <w:t xml:space="preserve">IPF </w:t>
      </w:r>
      <w:r w:rsidRPr="00C01835">
        <w:rPr>
          <w:rFonts w:cstheme="minorHAnsi"/>
        </w:rPr>
        <w:t xml:space="preserve">support </w:t>
      </w:r>
      <w:r w:rsidR="00A16B19">
        <w:rPr>
          <w:rFonts w:cstheme="minorHAnsi"/>
        </w:rPr>
        <w:t xml:space="preserve">to FIs </w:t>
      </w:r>
      <w:r w:rsidR="009E5297" w:rsidRPr="00C01835">
        <w:rPr>
          <w:rFonts w:cstheme="minorHAnsi"/>
        </w:rPr>
        <w:t xml:space="preserve">can </w:t>
      </w:r>
      <w:r w:rsidRPr="00C01835">
        <w:rPr>
          <w:rFonts w:cstheme="minorHAnsi"/>
        </w:rPr>
        <w:t xml:space="preserve">take different forms, and may include: </w:t>
      </w:r>
    </w:p>
    <w:p w14:paraId="649E71C6" w14:textId="77777777" w:rsidR="008400EF" w:rsidRPr="00C01835" w:rsidRDefault="008400EF" w:rsidP="00C01835">
      <w:pPr>
        <w:autoSpaceDE w:val="0"/>
        <w:autoSpaceDN w:val="0"/>
        <w:adjustRightInd w:val="0"/>
        <w:spacing w:after="0" w:line="240" w:lineRule="auto"/>
        <w:rPr>
          <w:rFonts w:cstheme="minorHAnsi"/>
        </w:rPr>
      </w:pPr>
    </w:p>
    <w:p w14:paraId="2D7FB264" w14:textId="092A1EA0" w:rsidR="008400EF" w:rsidRPr="00C01835" w:rsidRDefault="00D406E0" w:rsidP="007C49E7">
      <w:pPr>
        <w:pStyle w:val="ListParagraph"/>
        <w:numPr>
          <w:ilvl w:val="0"/>
          <w:numId w:val="15"/>
        </w:numPr>
        <w:autoSpaceDE w:val="0"/>
        <w:autoSpaceDN w:val="0"/>
        <w:adjustRightInd w:val="0"/>
        <w:spacing w:after="0" w:line="240" w:lineRule="auto"/>
        <w:contextualSpacing w:val="0"/>
        <w:rPr>
          <w:rFonts w:cstheme="minorHAnsi"/>
        </w:rPr>
      </w:pPr>
      <w:r>
        <w:rPr>
          <w:rFonts w:cstheme="minorHAnsi"/>
        </w:rPr>
        <w:t>l</w:t>
      </w:r>
      <w:r w:rsidR="008400EF" w:rsidRPr="00C01835">
        <w:rPr>
          <w:rFonts w:cstheme="minorHAnsi"/>
        </w:rPr>
        <w:t>oans</w:t>
      </w:r>
      <w:r>
        <w:rPr>
          <w:rFonts w:cstheme="minorHAnsi"/>
        </w:rPr>
        <w:t xml:space="preserve">, </w:t>
      </w:r>
      <w:r w:rsidR="008400EF" w:rsidRPr="00C01835">
        <w:rPr>
          <w:rFonts w:cstheme="minorHAnsi"/>
        </w:rPr>
        <w:t>credits</w:t>
      </w:r>
      <w:r>
        <w:rPr>
          <w:rFonts w:cstheme="minorHAnsi"/>
        </w:rPr>
        <w:t xml:space="preserve"> or grants</w:t>
      </w:r>
      <w:r w:rsidR="008400EF" w:rsidRPr="00C01835">
        <w:rPr>
          <w:rFonts w:cstheme="minorHAnsi"/>
        </w:rPr>
        <w:t xml:space="preserve"> to FIs to be used by them for loans or equity for specific sub-projects</w:t>
      </w:r>
      <w:r w:rsidR="00FE2CE9" w:rsidRPr="00C01835">
        <w:rPr>
          <w:rFonts w:cstheme="minorHAnsi"/>
        </w:rPr>
        <w:t>, or channel</w:t>
      </w:r>
      <w:r w:rsidR="00574523" w:rsidRPr="00C01835">
        <w:rPr>
          <w:rFonts w:cstheme="minorHAnsi"/>
        </w:rPr>
        <w:t>ed</w:t>
      </w:r>
      <w:r w:rsidR="00FE2CE9" w:rsidRPr="00C01835">
        <w:rPr>
          <w:rFonts w:cstheme="minorHAnsi"/>
        </w:rPr>
        <w:t xml:space="preserve"> to other FIs to be used by them for loans or equity for specific sub-projects</w:t>
      </w:r>
      <w:r w:rsidR="008400EF" w:rsidRPr="00C01835">
        <w:rPr>
          <w:rFonts w:cstheme="minorHAnsi"/>
        </w:rPr>
        <w:t xml:space="preserve">; </w:t>
      </w:r>
      <w:r w:rsidR="004E04E6" w:rsidRPr="00C01835">
        <w:rPr>
          <w:rFonts w:cstheme="minorHAnsi"/>
        </w:rPr>
        <w:t>and</w:t>
      </w:r>
    </w:p>
    <w:p w14:paraId="16EB6AAA" w14:textId="77777777" w:rsidR="008400EF" w:rsidRPr="00C01835" w:rsidRDefault="008400EF" w:rsidP="00C01835">
      <w:pPr>
        <w:pStyle w:val="ListParagraph"/>
        <w:autoSpaceDE w:val="0"/>
        <w:autoSpaceDN w:val="0"/>
        <w:adjustRightInd w:val="0"/>
        <w:spacing w:after="0" w:line="240" w:lineRule="auto"/>
        <w:ind w:left="735"/>
        <w:contextualSpacing w:val="0"/>
        <w:rPr>
          <w:rFonts w:cstheme="minorHAnsi"/>
        </w:rPr>
      </w:pPr>
    </w:p>
    <w:p w14:paraId="6067C868" w14:textId="452A0844" w:rsidR="00CC0990" w:rsidRPr="00C01835" w:rsidRDefault="00732872" w:rsidP="007C49E7">
      <w:pPr>
        <w:pStyle w:val="ListParagraph"/>
        <w:numPr>
          <w:ilvl w:val="0"/>
          <w:numId w:val="15"/>
        </w:numPr>
        <w:autoSpaceDE w:val="0"/>
        <w:autoSpaceDN w:val="0"/>
        <w:adjustRightInd w:val="0"/>
        <w:spacing w:after="0" w:line="240" w:lineRule="auto"/>
        <w:contextualSpacing w:val="0"/>
        <w:rPr>
          <w:rFonts w:cstheme="minorHAnsi"/>
        </w:rPr>
      </w:pPr>
      <w:r>
        <w:rPr>
          <w:rFonts w:cstheme="minorHAnsi"/>
        </w:rPr>
        <w:t>G</w:t>
      </w:r>
      <w:r w:rsidR="008400EF" w:rsidRPr="00C01835">
        <w:rPr>
          <w:rFonts w:cstheme="minorHAnsi"/>
        </w:rPr>
        <w:t xml:space="preserve">uarantees </w:t>
      </w:r>
      <w:r w:rsidR="00E0282A" w:rsidRPr="00C01835">
        <w:rPr>
          <w:rFonts w:cstheme="minorHAnsi"/>
        </w:rPr>
        <w:t xml:space="preserve">to FIs to enable them to </w:t>
      </w:r>
      <w:r w:rsidR="008400EF" w:rsidRPr="00C01835">
        <w:rPr>
          <w:rFonts w:cstheme="minorHAnsi"/>
        </w:rPr>
        <w:t xml:space="preserve">mobilize debt financing </w:t>
      </w:r>
      <w:r w:rsidR="00E0282A" w:rsidRPr="00C01835">
        <w:rPr>
          <w:rFonts w:cstheme="minorHAnsi"/>
        </w:rPr>
        <w:t>for</w:t>
      </w:r>
      <w:r w:rsidR="008400EF" w:rsidRPr="00C01835">
        <w:rPr>
          <w:rFonts w:cstheme="minorHAnsi"/>
        </w:rPr>
        <w:t xml:space="preserve"> loans</w:t>
      </w:r>
      <w:r w:rsidR="00574523" w:rsidRPr="00C01835">
        <w:rPr>
          <w:rFonts w:cstheme="minorHAnsi"/>
        </w:rPr>
        <w:t>,</w:t>
      </w:r>
      <w:r w:rsidR="008400EF" w:rsidRPr="00C01835">
        <w:rPr>
          <w:rFonts w:cstheme="minorHAnsi"/>
        </w:rPr>
        <w:t xml:space="preserve"> guarantees, or equity for specific sub-projects</w:t>
      </w:r>
      <w:r w:rsidR="00CC0990" w:rsidRPr="00C01835">
        <w:rPr>
          <w:rFonts w:cstheme="minorHAnsi"/>
        </w:rPr>
        <w:t xml:space="preserve">; </w:t>
      </w:r>
      <w:r>
        <w:rPr>
          <w:rFonts w:cstheme="minorHAnsi"/>
        </w:rPr>
        <w:t>and</w:t>
      </w:r>
    </w:p>
    <w:p w14:paraId="08803705" w14:textId="77777777" w:rsidR="00CC0990" w:rsidRPr="00C01835" w:rsidRDefault="00CC0990" w:rsidP="00C01835">
      <w:pPr>
        <w:pStyle w:val="ListParagraph"/>
        <w:spacing w:after="0" w:line="240" w:lineRule="auto"/>
        <w:contextualSpacing w:val="0"/>
        <w:rPr>
          <w:rFonts w:cstheme="minorHAnsi"/>
        </w:rPr>
      </w:pPr>
    </w:p>
    <w:p w14:paraId="21D089BA" w14:textId="137AAC06" w:rsidR="00454322" w:rsidRPr="00C01835" w:rsidRDefault="008505B1" w:rsidP="00C01835">
      <w:pPr>
        <w:tabs>
          <w:tab w:val="left" w:pos="2204"/>
        </w:tabs>
        <w:spacing w:after="0" w:line="240" w:lineRule="auto"/>
        <w:rPr>
          <w:rFonts w:cstheme="minorHAnsi"/>
        </w:rPr>
      </w:pPr>
      <w:r w:rsidRPr="00C01835">
        <w:rPr>
          <w:rFonts w:cstheme="minorHAnsi"/>
        </w:rPr>
        <w:lastRenderedPageBreak/>
        <w:t xml:space="preserve">The </w:t>
      </w:r>
      <w:r w:rsidRPr="00C01835">
        <w:t xml:space="preserve">scope of application of </w:t>
      </w:r>
      <w:r w:rsidR="00ED39AA">
        <w:t>ESS9</w:t>
      </w:r>
      <w:r w:rsidRPr="00C01835">
        <w:t xml:space="preserve"> depend</w:t>
      </w:r>
      <w:r w:rsidR="0099434B" w:rsidRPr="00C01835">
        <w:t>s</w:t>
      </w:r>
      <w:r w:rsidRPr="00C01835">
        <w:t xml:space="preserve"> on the </w:t>
      </w:r>
      <w:r w:rsidR="009E5297" w:rsidRPr="00C01835">
        <w:t xml:space="preserve">project </w:t>
      </w:r>
      <w:r w:rsidRPr="00C01835">
        <w:t xml:space="preserve">activities or commitments covered by </w:t>
      </w:r>
      <w:r w:rsidR="00D406E0">
        <w:t xml:space="preserve">Bank </w:t>
      </w:r>
      <w:r w:rsidR="00C73F41">
        <w:t xml:space="preserve">investment project </w:t>
      </w:r>
      <w:r w:rsidR="00D406E0">
        <w:t>financing</w:t>
      </w:r>
      <w:r w:rsidR="00802909">
        <w:t>. Technical assistance may be provided to IPF loans, credits and grants.</w:t>
      </w:r>
    </w:p>
    <w:p w14:paraId="2FF06522" w14:textId="77777777" w:rsidR="00454322" w:rsidRPr="00C01835" w:rsidRDefault="00454322" w:rsidP="00C01835">
      <w:pPr>
        <w:tabs>
          <w:tab w:val="left" w:pos="2204"/>
        </w:tabs>
        <w:spacing w:after="0" w:line="240" w:lineRule="auto"/>
        <w:rPr>
          <w:rFonts w:cstheme="minorHAnsi"/>
          <w:b/>
        </w:rPr>
      </w:pPr>
    </w:p>
    <w:p w14:paraId="4FABD7A2" w14:textId="01200A47" w:rsidR="003E7E6E" w:rsidRPr="00C01835" w:rsidRDefault="008400EF" w:rsidP="00C01835">
      <w:pPr>
        <w:tabs>
          <w:tab w:val="left" w:pos="2204"/>
        </w:tabs>
        <w:spacing w:after="0" w:line="240" w:lineRule="auto"/>
        <w:rPr>
          <w:rFonts w:cstheme="minorHAnsi"/>
        </w:rPr>
      </w:pPr>
      <w:r w:rsidRPr="00C01835">
        <w:rPr>
          <w:rFonts w:cstheme="minorHAnsi"/>
          <w:b/>
        </w:rPr>
        <w:t>GN4.</w:t>
      </w:r>
      <w:r w:rsidR="00167D7D" w:rsidRPr="00C01835">
        <w:rPr>
          <w:rFonts w:cstheme="minorHAnsi"/>
          <w:b/>
        </w:rPr>
        <w:t>2</w:t>
      </w:r>
      <w:r w:rsidRPr="00C01835">
        <w:rPr>
          <w:rFonts w:cstheme="minorHAnsi"/>
          <w:b/>
        </w:rPr>
        <w:t>.</w:t>
      </w:r>
      <w:r w:rsidRPr="00C01835">
        <w:rPr>
          <w:rFonts w:cstheme="minorHAnsi"/>
        </w:rPr>
        <w:t xml:space="preserve"> </w:t>
      </w:r>
      <w:r w:rsidR="007C385C">
        <w:rPr>
          <w:rFonts w:cstheme="minorHAnsi"/>
        </w:rPr>
        <w:t xml:space="preserve">Project structures supporting financial intermediation </w:t>
      </w:r>
      <w:r w:rsidR="00E0282A" w:rsidRPr="00C01835">
        <w:rPr>
          <w:rFonts w:cstheme="minorHAnsi"/>
        </w:rPr>
        <w:t>may include</w:t>
      </w:r>
      <w:r w:rsidR="00B17B75" w:rsidRPr="00F73059">
        <w:rPr>
          <w:i/>
          <w:iCs/>
          <w:noProof/>
          <w:sz w:val="24"/>
          <w:szCs w:val="24"/>
          <w:lang w:eastAsia="en-US"/>
        </w:rPr>
        <mc:AlternateContent>
          <mc:Choice Requires="wps">
            <w:drawing>
              <wp:anchor distT="45720" distB="45720" distL="114300" distR="114300" simplePos="0" relativeHeight="251652608" behindDoc="0" locked="0" layoutInCell="1" allowOverlap="1" wp14:anchorId="5540D0F3" wp14:editId="467C4DEE">
                <wp:simplePos x="0" y="0"/>
                <wp:positionH relativeFrom="page">
                  <wp:posOffset>7150735</wp:posOffset>
                </wp:positionH>
                <wp:positionV relativeFrom="page">
                  <wp:posOffset>8229600</wp:posOffset>
                </wp:positionV>
                <wp:extent cx="914400" cy="301752"/>
                <wp:effectExtent l="1587" t="0" r="1588" b="158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D635E9A" w14:textId="77777777" w:rsidR="005A4306" w:rsidRPr="00F73059" w:rsidRDefault="005A4306" w:rsidP="00B17B75">
                            <w:pPr>
                              <w:jc w:val="center"/>
                              <w:rPr>
                                <w:b/>
                                <w:color w:val="FFFFFF" w:themeColor="background1"/>
                                <w:sz w:val="28"/>
                                <w:szCs w:val="28"/>
                              </w:rPr>
                            </w:pPr>
                            <w:r>
                              <w:rPr>
                                <w:b/>
                                <w:color w:val="FFFFFF" w:themeColor="background1"/>
                                <w:sz w:val="28"/>
                                <w:szCs w:val="28"/>
                              </w:rPr>
                              <w:t>ESS9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0D0F3" id="Text Box 2" o:spid="_x0000_s1028" type="#_x0000_t202" style="position:absolute;left:0;text-align:left;margin-left:563.05pt;margin-top:9in;width:1in;height:23.75pt;rotation:-90;z-index:25165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" fillcolor="#70ad47 [3209]" stroked="f">
                <v:textbox>
                  <w:txbxContent>
                    <w:p w14:paraId="0D635E9A" w14:textId="77777777" w:rsidR="005A4306" w:rsidRPr="00F73059" w:rsidRDefault="005A4306" w:rsidP="00B17B75">
                      <w:pPr>
                        <w:jc w:val="center"/>
                        <w:rPr>
                          <w:b/>
                          <w:color w:val="FFFFFF" w:themeColor="background1"/>
                          <w:sz w:val="28"/>
                          <w:szCs w:val="28"/>
                        </w:rPr>
                      </w:pPr>
                      <w:r>
                        <w:rPr>
                          <w:b/>
                          <w:color w:val="FFFFFF" w:themeColor="background1"/>
                          <w:sz w:val="28"/>
                          <w:szCs w:val="28"/>
                        </w:rPr>
                        <w:t>ESS9</w:t>
                      </w:r>
                    </w:p>
                  </w:txbxContent>
                </v:textbox>
                <w10:wrap anchorx="page" anchory="page"/>
              </v:shape>
            </w:pict>
          </mc:Fallback>
        </mc:AlternateContent>
      </w:r>
      <w:r w:rsidR="00E0282A" w:rsidRPr="00C01835">
        <w:rPr>
          <w:rFonts w:cstheme="minorHAnsi"/>
        </w:rPr>
        <w:t xml:space="preserve"> </w:t>
      </w:r>
      <w:r w:rsidR="003E7E6E" w:rsidRPr="00C01835">
        <w:rPr>
          <w:rFonts w:cstheme="minorHAnsi"/>
        </w:rPr>
        <w:t>the following types of entities:</w:t>
      </w:r>
    </w:p>
    <w:p w14:paraId="70A48563" w14:textId="77777777" w:rsidR="0099434B" w:rsidRPr="00C01835" w:rsidRDefault="0099434B" w:rsidP="00C01835">
      <w:pPr>
        <w:tabs>
          <w:tab w:val="left" w:pos="2204"/>
        </w:tabs>
        <w:spacing w:after="0" w:line="240" w:lineRule="auto"/>
        <w:rPr>
          <w:rFonts w:cstheme="minorHAnsi"/>
        </w:rPr>
      </w:pPr>
    </w:p>
    <w:p w14:paraId="6B16F1AB" w14:textId="3AF30515" w:rsidR="006A1D97" w:rsidRPr="001752DB" w:rsidRDefault="006A1D97" w:rsidP="00E64669">
      <w:pPr>
        <w:numPr>
          <w:ilvl w:val="1"/>
          <w:numId w:val="16"/>
        </w:numPr>
        <w:spacing w:after="0" w:line="240" w:lineRule="auto"/>
        <w:ind w:left="900"/>
        <w:rPr>
          <w:rFonts w:eastAsia="Times New Roman" w:cstheme="minorHAnsi"/>
          <w:bCs/>
        </w:rPr>
      </w:pPr>
      <w:r w:rsidRPr="005A4306">
        <w:rPr>
          <w:rFonts w:eastAsia="Times New Roman" w:cstheme="minorHAnsi"/>
          <w:bCs/>
        </w:rPr>
        <w:t>Ministr</w:t>
      </w:r>
      <w:r w:rsidR="00E458A2" w:rsidRPr="005A4306">
        <w:rPr>
          <w:rFonts w:eastAsia="Times New Roman" w:cstheme="minorHAnsi"/>
          <w:bCs/>
        </w:rPr>
        <w:t>ies</w:t>
      </w:r>
      <w:r w:rsidRPr="005A4306">
        <w:rPr>
          <w:rFonts w:eastAsia="Times New Roman" w:cstheme="minorHAnsi"/>
          <w:bCs/>
        </w:rPr>
        <w:t xml:space="preserve"> of Finance</w:t>
      </w:r>
      <w:r w:rsidR="00464624" w:rsidRPr="00D23635">
        <w:rPr>
          <w:rFonts w:eastAsia="Times New Roman" w:cstheme="minorHAnsi"/>
          <w:bCs/>
        </w:rPr>
        <w:t>;</w:t>
      </w:r>
      <w:r w:rsidRPr="001752DB">
        <w:rPr>
          <w:rFonts w:eastAsia="Times New Roman" w:cstheme="minorHAnsi"/>
          <w:bCs/>
        </w:rPr>
        <w:t xml:space="preserve"> </w:t>
      </w:r>
    </w:p>
    <w:p w14:paraId="1816C90E" w14:textId="77777777" w:rsidR="00C01835" w:rsidRPr="005A4306" w:rsidRDefault="00C01835" w:rsidP="00E64669">
      <w:pPr>
        <w:spacing w:after="0" w:line="240" w:lineRule="auto"/>
        <w:ind w:left="900" w:hanging="360"/>
        <w:rPr>
          <w:rFonts w:eastAsia="Times New Roman" w:cstheme="minorHAnsi"/>
          <w:bCs/>
        </w:rPr>
      </w:pPr>
    </w:p>
    <w:p w14:paraId="69714916" w14:textId="1786A7E9" w:rsidR="00CD6CD6" w:rsidRPr="001752DB" w:rsidRDefault="00D406E0" w:rsidP="00E64669">
      <w:pPr>
        <w:numPr>
          <w:ilvl w:val="1"/>
          <w:numId w:val="16"/>
        </w:numPr>
        <w:spacing w:after="0" w:line="240" w:lineRule="auto"/>
        <w:ind w:left="900"/>
        <w:rPr>
          <w:rFonts w:eastAsia="Times New Roman" w:cstheme="minorHAnsi"/>
          <w:bCs/>
        </w:rPr>
      </w:pPr>
      <w:r>
        <w:rPr>
          <w:rFonts w:eastAsia="Times New Roman" w:cstheme="minorHAnsi"/>
          <w:bCs/>
        </w:rPr>
        <w:t>c</w:t>
      </w:r>
      <w:r w:rsidR="00CD6CD6" w:rsidRPr="005A4306">
        <w:rPr>
          <w:rFonts w:eastAsia="Times New Roman" w:cstheme="minorHAnsi"/>
          <w:bCs/>
        </w:rPr>
        <w:t>entral banks</w:t>
      </w:r>
      <w:r w:rsidR="00CD6CD6" w:rsidRPr="00D23635">
        <w:rPr>
          <w:rFonts w:eastAsia="Times New Roman" w:cstheme="minorHAnsi"/>
          <w:bCs/>
          <w:sz w:val="20"/>
          <w:szCs w:val="20"/>
        </w:rPr>
        <w:t>;</w:t>
      </w:r>
      <w:r w:rsidR="00915E39" w:rsidRPr="001752DB">
        <w:rPr>
          <w:rFonts w:eastAsia="Times New Roman" w:cstheme="minorHAnsi"/>
          <w:bCs/>
          <w:sz w:val="20"/>
          <w:szCs w:val="20"/>
        </w:rPr>
        <w:t xml:space="preserve"> </w:t>
      </w:r>
    </w:p>
    <w:p w14:paraId="7CDA6EFF" w14:textId="11327A96" w:rsidR="00C01835" w:rsidRPr="005A4306" w:rsidRDefault="00C01835" w:rsidP="00E64669">
      <w:pPr>
        <w:spacing w:after="0" w:line="240" w:lineRule="auto"/>
        <w:ind w:left="900" w:hanging="360"/>
        <w:rPr>
          <w:rFonts w:eastAsia="Times New Roman" w:cstheme="minorHAnsi"/>
          <w:bCs/>
        </w:rPr>
      </w:pPr>
    </w:p>
    <w:p w14:paraId="4F8EE3B2" w14:textId="23E46046" w:rsidR="00464624" w:rsidRPr="005A4306" w:rsidRDefault="00D406E0" w:rsidP="00E64669">
      <w:pPr>
        <w:numPr>
          <w:ilvl w:val="1"/>
          <w:numId w:val="16"/>
        </w:numPr>
        <w:spacing w:after="0" w:line="240" w:lineRule="auto"/>
        <w:ind w:left="900"/>
        <w:rPr>
          <w:rFonts w:eastAsia="Times New Roman" w:cstheme="minorHAnsi"/>
          <w:bCs/>
        </w:rPr>
      </w:pPr>
      <w:r>
        <w:rPr>
          <w:rFonts w:eastAsia="Times New Roman" w:cstheme="minorHAnsi"/>
          <w:bCs/>
        </w:rPr>
        <w:t>s</w:t>
      </w:r>
      <w:r w:rsidR="00464624" w:rsidRPr="005A4306">
        <w:rPr>
          <w:rFonts w:eastAsia="Times New Roman" w:cstheme="minorHAnsi"/>
          <w:bCs/>
        </w:rPr>
        <w:t>tate</w:t>
      </w:r>
      <w:r w:rsidR="00B03D88" w:rsidRPr="005A4306">
        <w:rPr>
          <w:rFonts w:eastAsia="Times New Roman" w:cstheme="minorHAnsi"/>
          <w:bCs/>
        </w:rPr>
        <w:t xml:space="preserve"> </w:t>
      </w:r>
      <w:r w:rsidR="00464624" w:rsidRPr="005A4306">
        <w:rPr>
          <w:rFonts w:eastAsia="Times New Roman" w:cstheme="minorHAnsi"/>
          <w:bCs/>
        </w:rPr>
        <w:t>financial institutions</w:t>
      </w:r>
      <w:r w:rsidR="00CD6CD6" w:rsidRPr="00D23635">
        <w:rPr>
          <w:rFonts w:eastAsia="Times New Roman" w:cstheme="minorHAnsi"/>
          <w:bCs/>
        </w:rPr>
        <w:t xml:space="preserve"> </w:t>
      </w:r>
      <w:r w:rsidR="00464624" w:rsidRPr="001752DB">
        <w:rPr>
          <w:rFonts w:eastAsia="Times New Roman" w:cstheme="minorHAnsi"/>
          <w:bCs/>
        </w:rPr>
        <w:t xml:space="preserve">that may be a state agency, </w:t>
      </w:r>
      <w:r w:rsidR="00CD6CD6" w:rsidRPr="001752DB">
        <w:rPr>
          <w:rFonts w:eastAsia="Times New Roman" w:cstheme="minorHAnsi"/>
          <w:bCs/>
        </w:rPr>
        <w:t>a</w:t>
      </w:r>
      <w:r w:rsidR="00464624" w:rsidRPr="001752DB">
        <w:rPr>
          <w:rFonts w:eastAsia="Times New Roman" w:cstheme="minorHAnsi"/>
          <w:bCs/>
        </w:rPr>
        <w:t xml:space="preserve">uthority or </w:t>
      </w:r>
      <w:r w:rsidR="00CD6CD6" w:rsidRPr="001752DB">
        <w:rPr>
          <w:rFonts w:eastAsia="Times New Roman" w:cstheme="minorHAnsi"/>
          <w:bCs/>
        </w:rPr>
        <w:t>b</w:t>
      </w:r>
      <w:r w:rsidR="00464624" w:rsidRPr="001752DB">
        <w:rPr>
          <w:rFonts w:eastAsia="Times New Roman" w:cstheme="minorHAnsi"/>
          <w:bCs/>
        </w:rPr>
        <w:t>oard not es</w:t>
      </w:r>
      <w:r w:rsidR="00CD6CD6" w:rsidRPr="001752DB">
        <w:rPr>
          <w:rFonts w:eastAsia="Times New Roman" w:cstheme="minorHAnsi"/>
          <w:bCs/>
        </w:rPr>
        <w:t>tablished under corporate law</w:t>
      </w:r>
      <w:r w:rsidR="00464624" w:rsidRPr="005A4306">
        <w:rPr>
          <w:rFonts w:eastAsia="Times New Roman" w:cstheme="minorHAnsi"/>
          <w:bCs/>
        </w:rPr>
        <w:t>;</w:t>
      </w:r>
    </w:p>
    <w:p w14:paraId="328AC731" w14:textId="20BA1730" w:rsidR="00C01835" w:rsidRPr="005A4306" w:rsidRDefault="00C01835" w:rsidP="00E64669">
      <w:pPr>
        <w:spacing w:after="0" w:line="240" w:lineRule="auto"/>
        <w:ind w:left="900" w:hanging="360"/>
        <w:rPr>
          <w:rFonts w:eastAsia="Times New Roman" w:cstheme="minorHAnsi"/>
          <w:bCs/>
        </w:rPr>
      </w:pPr>
    </w:p>
    <w:p w14:paraId="560BD8A7" w14:textId="0B4E33FA" w:rsidR="003E7E6E" w:rsidRPr="005A4306" w:rsidRDefault="00D406E0" w:rsidP="00E64669">
      <w:pPr>
        <w:numPr>
          <w:ilvl w:val="1"/>
          <w:numId w:val="16"/>
        </w:numPr>
        <w:spacing w:after="0" w:line="240" w:lineRule="auto"/>
        <w:ind w:left="900"/>
        <w:rPr>
          <w:rFonts w:eastAsia="Times New Roman" w:cstheme="minorHAnsi"/>
          <w:bCs/>
        </w:rPr>
      </w:pPr>
      <w:r>
        <w:rPr>
          <w:rFonts w:eastAsia="Times New Roman" w:cstheme="minorHAnsi"/>
          <w:bCs/>
        </w:rPr>
        <w:t>i</w:t>
      </w:r>
      <w:r w:rsidR="00464624" w:rsidRPr="005A4306">
        <w:rPr>
          <w:rFonts w:eastAsia="Times New Roman" w:cstheme="minorHAnsi"/>
          <w:bCs/>
        </w:rPr>
        <w:t>ndependent f</w:t>
      </w:r>
      <w:r w:rsidR="003E7E6E" w:rsidRPr="005A4306">
        <w:rPr>
          <w:rFonts w:eastAsia="Times New Roman" w:cstheme="minorHAnsi"/>
          <w:bCs/>
        </w:rPr>
        <w:t xml:space="preserve">inancial institutions </w:t>
      </w:r>
      <w:r w:rsidR="003E7E6E" w:rsidRPr="00D23635">
        <w:rPr>
          <w:rFonts w:eastAsia="Times New Roman" w:cstheme="minorHAnsi"/>
          <w:bCs/>
        </w:rPr>
        <w:t>established under corporate law (</w:t>
      </w:r>
      <w:r w:rsidR="00A4251A" w:rsidRPr="001752DB">
        <w:rPr>
          <w:rFonts w:eastAsia="Times New Roman" w:cstheme="minorHAnsi"/>
          <w:bCs/>
        </w:rPr>
        <w:t xml:space="preserve">including </w:t>
      </w:r>
      <w:r w:rsidR="003E7E6E" w:rsidRPr="001752DB">
        <w:rPr>
          <w:rFonts w:eastAsia="Times New Roman" w:cstheme="minorHAnsi"/>
          <w:bCs/>
        </w:rPr>
        <w:t>banks, financial companies</w:t>
      </w:r>
      <w:r w:rsidR="006A1D97" w:rsidRPr="005A4306">
        <w:rPr>
          <w:rFonts w:eastAsia="Times New Roman" w:cstheme="minorHAnsi"/>
          <w:bCs/>
        </w:rPr>
        <w:t>,</w:t>
      </w:r>
      <w:r w:rsidR="003E7E6E" w:rsidRPr="005A4306">
        <w:rPr>
          <w:rFonts w:eastAsia="Times New Roman" w:cstheme="minorHAnsi"/>
          <w:bCs/>
        </w:rPr>
        <w:t xml:space="preserve"> whether state or privately owned)</w:t>
      </w:r>
      <w:r w:rsidR="00464624" w:rsidRPr="005A4306">
        <w:rPr>
          <w:rFonts w:eastAsia="Times New Roman" w:cstheme="minorHAnsi"/>
          <w:bCs/>
        </w:rPr>
        <w:t>; or</w:t>
      </w:r>
    </w:p>
    <w:p w14:paraId="66664ABD" w14:textId="2D43E687" w:rsidR="00C01835" w:rsidRPr="005A4306" w:rsidRDefault="00C01835" w:rsidP="00E64669">
      <w:pPr>
        <w:spacing w:after="0" w:line="240" w:lineRule="auto"/>
        <w:ind w:left="900" w:hanging="360"/>
        <w:rPr>
          <w:rFonts w:eastAsia="Times New Roman" w:cstheme="minorHAnsi"/>
          <w:bCs/>
        </w:rPr>
      </w:pPr>
    </w:p>
    <w:p w14:paraId="1A4B4E69" w14:textId="522CA96E" w:rsidR="003E7E6E" w:rsidRPr="00C01835" w:rsidRDefault="00D406E0" w:rsidP="00E64669">
      <w:pPr>
        <w:numPr>
          <w:ilvl w:val="1"/>
          <w:numId w:val="16"/>
        </w:numPr>
        <w:spacing w:after="0" w:line="240" w:lineRule="auto"/>
        <w:ind w:left="900"/>
        <w:rPr>
          <w:rFonts w:eastAsia="Times New Roman" w:cstheme="minorHAnsi"/>
        </w:rPr>
      </w:pPr>
      <w:r>
        <w:rPr>
          <w:rFonts w:eastAsia="Times New Roman" w:cstheme="minorHAnsi"/>
          <w:bCs/>
        </w:rPr>
        <w:t>f</w:t>
      </w:r>
      <w:r w:rsidR="003E7E6E" w:rsidRPr="005A4306">
        <w:rPr>
          <w:rFonts w:eastAsia="Times New Roman" w:cstheme="minorHAnsi"/>
          <w:bCs/>
        </w:rPr>
        <w:t>unds managed by a fund manager</w:t>
      </w:r>
      <w:r w:rsidR="00105B4B" w:rsidRPr="00D23635">
        <w:rPr>
          <w:rFonts w:eastAsia="Times New Roman" w:cstheme="minorHAnsi"/>
          <w:bCs/>
        </w:rPr>
        <w:t xml:space="preserve">, which may </w:t>
      </w:r>
      <w:r w:rsidR="00050682" w:rsidRPr="001752DB">
        <w:rPr>
          <w:rFonts w:eastAsia="Times New Roman" w:cstheme="minorHAnsi"/>
          <w:bCs/>
        </w:rPr>
        <w:t xml:space="preserve">include a formally established fund or </w:t>
      </w:r>
      <w:r w:rsidR="003E7E6E" w:rsidRPr="001752DB">
        <w:rPr>
          <w:rFonts w:eastAsia="Times New Roman" w:cstheme="minorHAnsi"/>
          <w:bCs/>
        </w:rPr>
        <w:t xml:space="preserve">funds </w:t>
      </w:r>
      <w:r w:rsidR="00F803B1" w:rsidRPr="001752DB">
        <w:rPr>
          <w:rFonts w:eastAsia="Times New Roman" w:cstheme="minorHAnsi"/>
          <w:bCs/>
        </w:rPr>
        <w:t>in t</w:t>
      </w:r>
      <w:r w:rsidR="00F803B1" w:rsidRPr="00C01835">
        <w:rPr>
          <w:rFonts w:eastAsia="Times New Roman" w:cstheme="minorHAnsi"/>
        </w:rPr>
        <w:t>he form of</w:t>
      </w:r>
      <w:r w:rsidR="003E7E6E" w:rsidRPr="00C01835">
        <w:rPr>
          <w:rFonts w:eastAsia="Times New Roman" w:cstheme="minorHAnsi"/>
        </w:rPr>
        <w:t xml:space="preserve"> a </w:t>
      </w:r>
      <w:r w:rsidR="002B3772" w:rsidRPr="00C01835">
        <w:rPr>
          <w:rFonts w:eastAsia="Times New Roman" w:cstheme="minorHAnsi"/>
        </w:rPr>
        <w:t xml:space="preserve">government </w:t>
      </w:r>
      <w:r w:rsidR="003E7E6E" w:rsidRPr="00C01835">
        <w:rPr>
          <w:rFonts w:eastAsia="Times New Roman" w:cstheme="minorHAnsi"/>
        </w:rPr>
        <w:t>bank</w:t>
      </w:r>
      <w:r w:rsidR="00105B4B" w:rsidRPr="00C01835">
        <w:rPr>
          <w:rFonts w:eastAsia="Times New Roman" w:cstheme="minorHAnsi"/>
        </w:rPr>
        <w:t xml:space="preserve"> account for</w:t>
      </w:r>
      <w:r w:rsidR="00D9124A" w:rsidRPr="00C01835">
        <w:rPr>
          <w:rFonts w:eastAsia="Times New Roman" w:cstheme="minorHAnsi"/>
        </w:rPr>
        <w:t xml:space="preserve"> a purpose defined by the project </w:t>
      </w:r>
      <w:r w:rsidR="0099434B" w:rsidRPr="00C01835">
        <w:rPr>
          <w:rFonts w:eastAsia="Times New Roman" w:cstheme="minorHAnsi"/>
        </w:rPr>
        <w:t>(</w:t>
      </w:r>
      <w:r w:rsidR="00105B4B" w:rsidRPr="00C01835">
        <w:rPr>
          <w:rFonts w:eastAsia="Times New Roman" w:cstheme="minorHAnsi"/>
        </w:rPr>
        <w:t>without</w:t>
      </w:r>
      <w:r w:rsidR="003E7E6E" w:rsidRPr="00C01835">
        <w:rPr>
          <w:rFonts w:eastAsia="Times New Roman" w:cstheme="minorHAnsi"/>
        </w:rPr>
        <w:t xml:space="preserve"> staff or operating resources</w:t>
      </w:r>
      <w:r w:rsidR="0099434B" w:rsidRPr="00C01835">
        <w:rPr>
          <w:rFonts w:eastAsia="Times New Roman" w:cstheme="minorHAnsi"/>
        </w:rPr>
        <w:t>)</w:t>
      </w:r>
      <w:r w:rsidR="00105B4B" w:rsidRPr="00C01835">
        <w:rPr>
          <w:rFonts w:eastAsia="Times New Roman" w:cstheme="minorHAnsi"/>
        </w:rPr>
        <w:t xml:space="preserve">. </w:t>
      </w:r>
      <w:r w:rsidR="002B3772" w:rsidRPr="00C01835">
        <w:rPr>
          <w:rFonts w:eastAsia="Times New Roman" w:cstheme="minorHAnsi"/>
        </w:rPr>
        <w:t xml:space="preserve">This category </w:t>
      </w:r>
      <w:r w:rsidR="00B03D88">
        <w:rPr>
          <w:rFonts w:eastAsia="Times New Roman" w:cstheme="minorHAnsi"/>
        </w:rPr>
        <w:t xml:space="preserve">does </w:t>
      </w:r>
      <w:r w:rsidR="002B3772" w:rsidRPr="00C01835">
        <w:rPr>
          <w:rFonts w:eastAsia="Times New Roman" w:cstheme="minorHAnsi"/>
          <w:color w:val="auto"/>
        </w:rPr>
        <w:t xml:space="preserve">not </w:t>
      </w:r>
      <w:r w:rsidR="002B3772" w:rsidRPr="00C01835">
        <w:rPr>
          <w:rFonts w:eastAsia="Times New Roman" w:cstheme="minorHAnsi"/>
        </w:rPr>
        <w:t xml:space="preserve">include funds </w:t>
      </w:r>
      <w:r w:rsidR="00B03D88">
        <w:rPr>
          <w:rFonts w:eastAsia="Times New Roman" w:cstheme="minorHAnsi"/>
        </w:rPr>
        <w:t xml:space="preserve">that </w:t>
      </w:r>
      <w:r w:rsidR="004E04E6" w:rsidRPr="00C01835">
        <w:rPr>
          <w:rFonts w:eastAsia="Times New Roman" w:cstheme="minorHAnsi"/>
        </w:rPr>
        <w:t xml:space="preserve">are not part </w:t>
      </w:r>
      <w:r w:rsidR="002B3772" w:rsidRPr="00C01835">
        <w:rPr>
          <w:rFonts w:eastAsia="Times New Roman" w:cstheme="minorHAnsi"/>
        </w:rPr>
        <w:t xml:space="preserve">of financial </w:t>
      </w:r>
      <w:r w:rsidR="004E04E6" w:rsidRPr="00C01835">
        <w:rPr>
          <w:rFonts w:eastAsia="Times New Roman" w:cstheme="minorHAnsi"/>
        </w:rPr>
        <w:t xml:space="preserve">intermediation, </w:t>
      </w:r>
      <w:r w:rsidR="0092443E" w:rsidRPr="00C01835">
        <w:rPr>
          <w:rFonts w:eastAsia="Times New Roman" w:cstheme="minorHAnsi"/>
        </w:rPr>
        <w:t xml:space="preserve">for example, </w:t>
      </w:r>
      <w:r w:rsidR="0092443E" w:rsidRPr="00C01835">
        <w:rPr>
          <w:rFonts w:cstheme="minorHAnsi"/>
        </w:rPr>
        <w:t>matching grant schemes</w:t>
      </w:r>
      <w:r w:rsidR="002B3772" w:rsidRPr="00C01835">
        <w:rPr>
          <w:rFonts w:eastAsia="Times New Roman" w:cstheme="minorHAnsi"/>
        </w:rPr>
        <w:t xml:space="preserve">. </w:t>
      </w:r>
    </w:p>
    <w:p w14:paraId="0154AA2E" w14:textId="77777777" w:rsidR="007E0731" w:rsidRPr="00C01835" w:rsidRDefault="007E0731" w:rsidP="00E64669">
      <w:pPr>
        <w:tabs>
          <w:tab w:val="left" w:pos="2204"/>
        </w:tabs>
        <w:spacing w:after="0" w:line="240" w:lineRule="auto"/>
        <w:ind w:left="900" w:hanging="360"/>
        <w:rPr>
          <w:rFonts w:cstheme="minorHAnsi"/>
          <w:b/>
        </w:rPr>
      </w:pPr>
    </w:p>
    <w:p w14:paraId="5113972B" w14:textId="7EFBD250" w:rsidR="00002E42" w:rsidRPr="00BF7ED6" w:rsidRDefault="00002E42" w:rsidP="007C385C">
      <w:pPr>
        <w:spacing w:after="0" w:line="240" w:lineRule="auto"/>
        <w:rPr>
          <w:rFonts w:eastAsia="Times New Roman" w:cstheme="minorHAnsi"/>
          <w:bCs/>
        </w:rPr>
      </w:pPr>
      <w:r w:rsidRPr="00C01835">
        <w:rPr>
          <w:rFonts w:eastAsia="Times New Roman" w:cstheme="minorHAnsi"/>
          <w:b/>
        </w:rPr>
        <w:t>GN4.</w:t>
      </w:r>
      <w:r>
        <w:rPr>
          <w:rFonts w:eastAsia="Times New Roman" w:cstheme="minorHAnsi"/>
          <w:b/>
        </w:rPr>
        <w:t>3</w:t>
      </w:r>
      <w:r w:rsidRPr="00C01835">
        <w:rPr>
          <w:rFonts w:eastAsia="Times New Roman" w:cstheme="minorHAnsi"/>
          <w:b/>
        </w:rPr>
        <w:t>.</w:t>
      </w:r>
      <w:r w:rsidRPr="00C01835">
        <w:rPr>
          <w:rFonts w:eastAsia="Times New Roman" w:cstheme="minorHAnsi"/>
        </w:rPr>
        <w:t xml:space="preserve"> FIs may</w:t>
      </w:r>
      <w:r w:rsidR="007C385C">
        <w:rPr>
          <w:rFonts w:eastAsia="Times New Roman" w:cstheme="minorHAnsi"/>
        </w:rPr>
        <w:t xml:space="preserve"> provide a variety of financial products and services</w:t>
      </w:r>
      <w:r w:rsidRPr="00C01835">
        <w:rPr>
          <w:rFonts w:eastAsia="Times New Roman" w:cstheme="minorHAnsi"/>
        </w:rPr>
        <w:t xml:space="preserve"> includ</w:t>
      </w:r>
      <w:r w:rsidR="007C385C">
        <w:rPr>
          <w:rFonts w:eastAsia="Times New Roman" w:cstheme="minorHAnsi"/>
        </w:rPr>
        <w:t xml:space="preserve">ing </w:t>
      </w:r>
      <w:r w:rsidR="007C385C">
        <w:rPr>
          <w:rFonts w:eastAsia="Times New Roman" w:cstheme="minorHAnsi"/>
          <w:bCs/>
        </w:rPr>
        <w:t>c</w:t>
      </w:r>
      <w:r w:rsidRPr="00BF7ED6">
        <w:rPr>
          <w:rFonts w:eastAsia="Times New Roman" w:cstheme="minorHAnsi"/>
          <w:bCs/>
        </w:rPr>
        <w:t xml:space="preserve">redit products, which can be funded (loans) or unfunded (guarantees); </w:t>
      </w:r>
      <w:r w:rsidR="007C385C">
        <w:rPr>
          <w:rFonts w:eastAsia="Times New Roman" w:cstheme="minorHAnsi"/>
          <w:bCs/>
        </w:rPr>
        <w:t>o</w:t>
      </w:r>
      <w:r w:rsidRPr="00BF7ED6">
        <w:rPr>
          <w:rFonts w:eastAsia="Times New Roman" w:cstheme="minorHAnsi"/>
          <w:bCs/>
        </w:rPr>
        <w:t xml:space="preserve">ther financial products such as </w:t>
      </w:r>
      <w:r w:rsidRPr="00BF7ED6">
        <w:rPr>
          <w:rFonts w:cstheme="minorHAnsi"/>
          <w:bCs/>
        </w:rPr>
        <w:t>dealing room products (for example, hedging, swaps) and investment banking products (for example, bond underwriting, arranging of equity issuances);</w:t>
      </w:r>
      <w:r w:rsidR="007C385C">
        <w:rPr>
          <w:rFonts w:cstheme="minorHAnsi"/>
          <w:bCs/>
        </w:rPr>
        <w:t xml:space="preserve"> </w:t>
      </w:r>
      <w:r w:rsidR="007C385C">
        <w:rPr>
          <w:rFonts w:eastAsia="Times New Roman" w:cstheme="minorHAnsi"/>
          <w:bCs/>
        </w:rPr>
        <w:t>e</w:t>
      </w:r>
      <w:r w:rsidRPr="00BF7ED6">
        <w:rPr>
          <w:rFonts w:eastAsia="Times New Roman" w:cstheme="minorHAnsi"/>
          <w:bCs/>
        </w:rPr>
        <w:t>quity investments; or</w:t>
      </w:r>
      <w:r w:rsidR="007C385C">
        <w:rPr>
          <w:rFonts w:eastAsia="Times New Roman" w:cstheme="minorHAnsi"/>
          <w:bCs/>
        </w:rPr>
        <w:t xml:space="preserve"> f</w:t>
      </w:r>
      <w:r w:rsidRPr="00BF7ED6">
        <w:rPr>
          <w:rFonts w:eastAsia="Times New Roman" w:cstheme="minorHAnsi"/>
          <w:bCs/>
        </w:rPr>
        <w:t>und management.</w:t>
      </w:r>
    </w:p>
    <w:p w14:paraId="6AB1578B" w14:textId="77777777" w:rsidR="00002E42" w:rsidRDefault="00002E42" w:rsidP="00C01835">
      <w:pPr>
        <w:tabs>
          <w:tab w:val="left" w:pos="2204"/>
        </w:tabs>
        <w:spacing w:after="0" w:line="240" w:lineRule="auto"/>
        <w:rPr>
          <w:rFonts w:cstheme="minorHAnsi"/>
          <w:b/>
        </w:rPr>
      </w:pPr>
    </w:p>
    <w:p w14:paraId="65162EAA" w14:textId="239413A1" w:rsidR="008400EF" w:rsidRPr="00C01835" w:rsidRDefault="00667F85" w:rsidP="00C01835">
      <w:pPr>
        <w:tabs>
          <w:tab w:val="left" w:pos="2204"/>
        </w:tabs>
        <w:spacing w:after="0" w:line="240" w:lineRule="auto"/>
        <w:rPr>
          <w:rFonts w:cstheme="minorHAnsi"/>
        </w:rPr>
      </w:pPr>
      <w:r w:rsidRPr="00C01835">
        <w:rPr>
          <w:rFonts w:cstheme="minorHAnsi"/>
          <w:b/>
        </w:rPr>
        <w:t>GN4.</w:t>
      </w:r>
      <w:r w:rsidR="00002E42">
        <w:rPr>
          <w:rFonts w:cstheme="minorHAnsi"/>
          <w:b/>
        </w:rPr>
        <w:t>4</w:t>
      </w:r>
      <w:r w:rsidRPr="00C01835">
        <w:rPr>
          <w:rFonts w:cstheme="minorHAnsi"/>
          <w:b/>
        </w:rPr>
        <w:t>.</w:t>
      </w:r>
      <w:r w:rsidRPr="00C01835">
        <w:rPr>
          <w:rFonts w:cstheme="minorHAnsi"/>
        </w:rPr>
        <w:t xml:space="preserve"> </w:t>
      </w:r>
      <w:r w:rsidR="00E0282A" w:rsidRPr="00C01835">
        <w:rPr>
          <w:rFonts w:cstheme="minorHAnsi"/>
        </w:rPr>
        <w:t>Projects may involve one or more FIs</w:t>
      </w:r>
      <w:r w:rsidR="00843A47">
        <w:rPr>
          <w:rFonts w:cstheme="minorHAnsi"/>
        </w:rPr>
        <w:t>,</w:t>
      </w:r>
      <w:r w:rsidR="00E0282A" w:rsidRPr="00C01835">
        <w:rPr>
          <w:rFonts w:cstheme="minorHAnsi"/>
        </w:rPr>
        <w:t xml:space="preserve"> </w:t>
      </w:r>
      <w:r w:rsidR="00843A47">
        <w:rPr>
          <w:rFonts w:cstheme="minorHAnsi"/>
        </w:rPr>
        <w:t xml:space="preserve">different terms may be used to describe the different entities involved in financial intermediation projects. </w:t>
      </w:r>
      <w:r w:rsidR="00E0282A" w:rsidRPr="00C01835">
        <w:rPr>
          <w:rFonts w:cstheme="minorHAnsi"/>
        </w:rPr>
        <w:t xml:space="preserve">For example, the </w:t>
      </w:r>
      <w:r w:rsidR="00C12A62">
        <w:rPr>
          <w:rFonts w:cstheme="minorHAnsi"/>
        </w:rPr>
        <w:t xml:space="preserve">World </w:t>
      </w:r>
      <w:r w:rsidR="00E0282A" w:rsidRPr="00C01835">
        <w:rPr>
          <w:rFonts w:cstheme="minorHAnsi"/>
        </w:rPr>
        <w:t>Bank may provide</w:t>
      </w:r>
      <w:r w:rsidR="00C73F41">
        <w:rPr>
          <w:rFonts w:cstheme="minorHAnsi"/>
        </w:rPr>
        <w:t xml:space="preserve"> investment project</w:t>
      </w:r>
      <w:r w:rsidR="00E0282A" w:rsidRPr="00C01835">
        <w:rPr>
          <w:rFonts w:cstheme="minorHAnsi"/>
        </w:rPr>
        <w:t xml:space="preserve"> financing to </w:t>
      </w:r>
      <w:r w:rsidR="009F3384" w:rsidRPr="00C01835">
        <w:rPr>
          <w:rFonts w:cstheme="minorHAnsi"/>
        </w:rPr>
        <w:t>a</w:t>
      </w:r>
      <w:r w:rsidR="00E0282A" w:rsidRPr="00C01835">
        <w:rPr>
          <w:rFonts w:cstheme="minorHAnsi"/>
        </w:rPr>
        <w:t xml:space="preserve"> </w:t>
      </w:r>
      <w:r w:rsidR="002120DD" w:rsidRPr="00C01835">
        <w:rPr>
          <w:rFonts w:cstheme="minorHAnsi"/>
        </w:rPr>
        <w:t>Ministry of Finance (</w:t>
      </w:r>
      <w:r w:rsidR="009F3384" w:rsidRPr="00C01835">
        <w:rPr>
          <w:rFonts w:cstheme="minorHAnsi"/>
        </w:rPr>
        <w:t>b</w:t>
      </w:r>
      <w:r w:rsidR="002120DD" w:rsidRPr="00C01835">
        <w:rPr>
          <w:rFonts w:cstheme="minorHAnsi"/>
        </w:rPr>
        <w:t>orrowing entity)</w:t>
      </w:r>
      <w:r w:rsidR="00B03D88">
        <w:rPr>
          <w:rFonts w:cstheme="minorHAnsi"/>
        </w:rPr>
        <w:t>,</w:t>
      </w:r>
      <w:r w:rsidR="002120DD" w:rsidRPr="00C01835">
        <w:rPr>
          <w:rFonts w:cstheme="minorHAnsi"/>
        </w:rPr>
        <w:t xml:space="preserve"> which delegates the administration of a line of credit to an apex FI (wholesaling entity)</w:t>
      </w:r>
      <w:r w:rsidR="00B03D88">
        <w:rPr>
          <w:rFonts w:cstheme="minorHAnsi"/>
        </w:rPr>
        <w:t>,</w:t>
      </w:r>
      <w:r w:rsidR="002120DD" w:rsidRPr="00C01835">
        <w:rPr>
          <w:rFonts w:cstheme="minorHAnsi"/>
        </w:rPr>
        <w:t xml:space="preserve"> which on-lends to participating FIs (retail entit</w:t>
      </w:r>
      <w:r w:rsidR="00B03D88">
        <w:rPr>
          <w:rFonts w:cstheme="minorHAnsi"/>
        </w:rPr>
        <w:t>ies</w:t>
      </w:r>
      <w:r w:rsidR="002120DD" w:rsidRPr="00C01835">
        <w:rPr>
          <w:rFonts w:cstheme="minorHAnsi"/>
        </w:rPr>
        <w:t>)</w:t>
      </w:r>
      <w:r w:rsidR="00B03D88">
        <w:rPr>
          <w:rFonts w:cstheme="minorHAnsi"/>
        </w:rPr>
        <w:t>,</w:t>
      </w:r>
      <w:r w:rsidR="002120DD" w:rsidRPr="00C01835">
        <w:rPr>
          <w:rFonts w:cstheme="minorHAnsi"/>
        </w:rPr>
        <w:t xml:space="preserve"> which lend to small and medium enterprises for </w:t>
      </w:r>
      <w:r w:rsidR="00C12A62">
        <w:rPr>
          <w:rFonts w:cstheme="minorHAnsi"/>
        </w:rPr>
        <w:t>projects or activities (FI subproject)</w:t>
      </w:r>
      <w:r w:rsidR="002120DD" w:rsidRPr="00C01835">
        <w:rPr>
          <w:rFonts w:cstheme="minorHAnsi"/>
        </w:rPr>
        <w:t xml:space="preserve">. </w:t>
      </w:r>
    </w:p>
    <w:p w14:paraId="4DEE8BF6" w14:textId="77777777" w:rsidR="008400EF" w:rsidRPr="00C01835" w:rsidRDefault="008400EF" w:rsidP="00C01835">
      <w:pPr>
        <w:tabs>
          <w:tab w:val="left" w:pos="2204"/>
        </w:tabs>
        <w:spacing w:after="0" w:line="240" w:lineRule="auto"/>
      </w:pPr>
    </w:p>
    <w:p w14:paraId="537C3229" w14:textId="49D74C8B" w:rsidR="008400EF" w:rsidRPr="00C01835" w:rsidRDefault="008400EF" w:rsidP="00C01835">
      <w:pPr>
        <w:tabs>
          <w:tab w:val="left" w:pos="2204"/>
        </w:tabs>
        <w:spacing w:after="0" w:line="240" w:lineRule="auto"/>
      </w:pPr>
      <w:r w:rsidRPr="00C01835">
        <w:rPr>
          <w:b/>
        </w:rPr>
        <w:t>GN4.</w:t>
      </w:r>
      <w:r w:rsidR="00167D7D" w:rsidRPr="00C01835">
        <w:rPr>
          <w:b/>
        </w:rPr>
        <w:t>5</w:t>
      </w:r>
      <w:r w:rsidRPr="00C01835">
        <w:rPr>
          <w:b/>
        </w:rPr>
        <w:t>.</w:t>
      </w:r>
      <w:r w:rsidRPr="00C01835">
        <w:t xml:space="preserve"> </w:t>
      </w:r>
      <w:r w:rsidR="000A5965" w:rsidRPr="00C01835">
        <w:t>An</w:t>
      </w:r>
      <w:r w:rsidRPr="00C01835">
        <w:t xml:space="preserve"> “</w:t>
      </w:r>
      <w:r w:rsidRPr="00C01835">
        <w:rPr>
          <w:i/>
        </w:rPr>
        <w:t>FI subproject</w:t>
      </w:r>
      <w:r w:rsidRPr="00C01835">
        <w:t xml:space="preserve">” is the ultimate project or activities supported by the FI. As </w:t>
      </w:r>
      <w:r w:rsidR="00967739">
        <w:t>F</w:t>
      </w:r>
      <w:r w:rsidR="009B2031" w:rsidRPr="00C01835">
        <w:t xml:space="preserve">ootnote 2 </w:t>
      </w:r>
      <w:r w:rsidR="000A5965" w:rsidRPr="00C01835">
        <w:t>states</w:t>
      </w:r>
      <w:r w:rsidRPr="00C01835">
        <w:t xml:space="preserve">, if </w:t>
      </w:r>
      <w:r w:rsidR="000A5965" w:rsidRPr="00C01835">
        <w:t xml:space="preserve">an </w:t>
      </w:r>
      <w:r w:rsidRPr="00C01835">
        <w:t>FI provid</w:t>
      </w:r>
      <w:r w:rsidR="00967739">
        <w:t xml:space="preserve">es </w:t>
      </w:r>
      <w:r w:rsidRPr="00C01835">
        <w:t xml:space="preserve">financial </w:t>
      </w:r>
      <w:r w:rsidR="000A5965" w:rsidRPr="00C01835">
        <w:t xml:space="preserve">support </w:t>
      </w:r>
      <w:r w:rsidRPr="00C01835">
        <w:t xml:space="preserve">to another FI (for example, through a loan or guarantee) the FI subproject </w:t>
      </w:r>
      <w:r w:rsidR="0099434B" w:rsidRPr="00C01835">
        <w:t>is</w:t>
      </w:r>
      <w:r w:rsidRPr="00C01835">
        <w:t xml:space="preserve"> the project or activities supported by the </w:t>
      </w:r>
      <w:r w:rsidR="009B2031" w:rsidRPr="00C01835">
        <w:t>p</w:t>
      </w:r>
      <w:r w:rsidRPr="00C01835">
        <w:t>articipating FI. For example, where the FI provides a loan to a rural finance institution, which then lends (via a sub-loan) to a farmer (sub-</w:t>
      </w:r>
      <w:r w:rsidR="0099434B" w:rsidRPr="00C01835">
        <w:t>b</w:t>
      </w:r>
      <w:r w:rsidRPr="00C01835">
        <w:t xml:space="preserve">orrower) who uses the loan to expand farming operations, the FI subproject </w:t>
      </w:r>
      <w:r w:rsidR="0099434B" w:rsidRPr="00C01835">
        <w:t>is</w:t>
      </w:r>
      <w:r w:rsidRPr="00C01835">
        <w:t xml:space="preserve"> the expanded farming operation.</w:t>
      </w:r>
    </w:p>
    <w:p w14:paraId="5E9D27E8" w14:textId="77777777" w:rsidR="008400EF" w:rsidRPr="00C01835" w:rsidRDefault="008400EF" w:rsidP="00C01835">
      <w:pPr>
        <w:tabs>
          <w:tab w:val="left" w:pos="2204"/>
        </w:tabs>
        <w:spacing w:after="0" w:line="240" w:lineRule="auto"/>
      </w:pPr>
    </w:p>
    <w:p w14:paraId="4E10E764" w14:textId="166CAFDD" w:rsidR="008400EF" w:rsidRPr="00C01835" w:rsidRDefault="008400EF" w:rsidP="00C01835">
      <w:pPr>
        <w:tabs>
          <w:tab w:val="left" w:pos="2204"/>
        </w:tabs>
        <w:spacing w:after="0" w:line="240" w:lineRule="auto"/>
      </w:pPr>
      <w:r w:rsidRPr="00C01835">
        <w:rPr>
          <w:b/>
        </w:rPr>
        <w:t>GN4.</w:t>
      </w:r>
      <w:r w:rsidR="00167D7D" w:rsidRPr="00C01835">
        <w:rPr>
          <w:b/>
        </w:rPr>
        <w:t>6</w:t>
      </w:r>
      <w:r w:rsidRPr="00C01835">
        <w:rPr>
          <w:b/>
        </w:rPr>
        <w:t>.</w:t>
      </w:r>
      <w:r w:rsidRPr="00C01835">
        <w:t xml:space="preserve"> </w:t>
      </w:r>
      <w:r w:rsidR="00AF2421" w:rsidRPr="00C01835">
        <w:t xml:space="preserve">Where </w:t>
      </w:r>
      <w:r w:rsidR="00B17B75" w:rsidRPr="00F73059">
        <w:rPr>
          <w:i/>
          <w:iCs/>
          <w:noProof/>
          <w:sz w:val="24"/>
          <w:szCs w:val="24"/>
          <w:lang w:eastAsia="en-US"/>
        </w:rPr>
        <mc:AlternateContent>
          <mc:Choice Requires="wps">
            <w:drawing>
              <wp:anchor distT="45720" distB="45720" distL="114300" distR="114300" simplePos="0" relativeHeight="251654656" behindDoc="0" locked="0" layoutInCell="1" allowOverlap="1" wp14:anchorId="36CC370F" wp14:editId="29C66F11">
                <wp:simplePos x="0" y="0"/>
                <wp:positionH relativeFrom="page">
                  <wp:posOffset>7150735</wp:posOffset>
                </wp:positionH>
                <wp:positionV relativeFrom="page">
                  <wp:posOffset>8229600</wp:posOffset>
                </wp:positionV>
                <wp:extent cx="914400" cy="301752"/>
                <wp:effectExtent l="1587" t="0" r="1588" b="1587"/>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53F1E6E" w14:textId="77777777" w:rsidR="005A4306" w:rsidRPr="00F73059" w:rsidRDefault="005A4306" w:rsidP="00B17B75">
                            <w:pPr>
                              <w:jc w:val="center"/>
                              <w:rPr>
                                <w:b/>
                                <w:color w:val="FFFFFF" w:themeColor="background1"/>
                                <w:sz w:val="28"/>
                                <w:szCs w:val="28"/>
                              </w:rPr>
                            </w:pPr>
                            <w:r>
                              <w:rPr>
                                <w:b/>
                                <w:color w:val="FFFFFF" w:themeColor="background1"/>
                                <w:sz w:val="28"/>
                                <w:szCs w:val="28"/>
                              </w:rPr>
                              <w:t>ESS9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C370F" id="Text Box 4" o:spid="_x0000_s1029" type="#_x0000_t202" style="position:absolute;left:0;text-align:left;margin-left:563.05pt;margin-top:9in;width:1in;height:23.75pt;rotation:-90;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" fillcolor="#70ad47 [3209]" stroked="f">
                <v:textbox>
                  <w:txbxContent>
                    <w:p w14:paraId="053F1E6E" w14:textId="77777777" w:rsidR="005A4306" w:rsidRPr="00F73059" w:rsidRDefault="005A4306" w:rsidP="00B17B75">
                      <w:pPr>
                        <w:jc w:val="center"/>
                        <w:rPr>
                          <w:b/>
                          <w:color w:val="FFFFFF" w:themeColor="background1"/>
                          <w:sz w:val="28"/>
                          <w:szCs w:val="28"/>
                        </w:rPr>
                      </w:pPr>
                      <w:r>
                        <w:rPr>
                          <w:b/>
                          <w:color w:val="FFFFFF" w:themeColor="background1"/>
                          <w:sz w:val="28"/>
                          <w:szCs w:val="28"/>
                        </w:rPr>
                        <w:t>ESS9</w:t>
                      </w:r>
                    </w:p>
                  </w:txbxContent>
                </v:textbox>
                <w10:wrap anchorx="page" anchory="page"/>
              </v:shape>
            </w:pict>
          </mc:Fallback>
        </mc:AlternateContent>
      </w:r>
      <w:r w:rsidR="00002E42">
        <w:t xml:space="preserve">a </w:t>
      </w:r>
      <w:r w:rsidR="00C12A62">
        <w:t xml:space="preserve">World </w:t>
      </w:r>
      <w:r w:rsidRPr="00C01835">
        <w:t xml:space="preserve">Bank </w:t>
      </w:r>
      <w:r w:rsidR="00002E42">
        <w:t xml:space="preserve">project </w:t>
      </w:r>
      <w:r w:rsidR="00C60F1C" w:rsidRPr="00C01835">
        <w:t>includes technical a</w:t>
      </w:r>
      <w:r w:rsidR="00AF2421" w:rsidRPr="00C01835">
        <w:t>ssistance</w:t>
      </w:r>
      <w:r w:rsidR="00002E42">
        <w:t xml:space="preserve"> to an FI</w:t>
      </w:r>
      <w:r w:rsidR="00AF2421" w:rsidRPr="00C01835">
        <w:t xml:space="preserve">, </w:t>
      </w:r>
      <w:r w:rsidR="00DA130E" w:rsidRPr="00C01835">
        <w:t xml:space="preserve">the FI </w:t>
      </w:r>
      <w:r w:rsidRPr="00C01835">
        <w:t>follow</w:t>
      </w:r>
      <w:r w:rsidR="00DD6037" w:rsidRPr="00C01835">
        <w:t>s</w:t>
      </w:r>
      <w:r w:rsidRPr="00C01835">
        <w:t xml:space="preserve"> the requirements set out in ESS1 as relevant and appropriate to the nature and risks of </w:t>
      </w:r>
      <w:r w:rsidR="00676292" w:rsidRPr="00C01835">
        <w:t>the technical assistance</w:t>
      </w:r>
      <w:r w:rsidRPr="00C01835">
        <w:t xml:space="preserve">. </w:t>
      </w:r>
    </w:p>
    <w:p w14:paraId="48DAE7BD" w14:textId="10F924C4" w:rsidR="00C86398" w:rsidRPr="00C01835" w:rsidRDefault="00C86398" w:rsidP="00C01835">
      <w:pPr>
        <w:tabs>
          <w:tab w:val="left" w:pos="2204"/>
        </w:tabs>
        <w:spacing w:after="0" w:line="240" w:lineRule="auto"/>
      </w:pP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3852EACC" w14:textId="77777777" w:rsidTr="00C01835">
        <w:tc>
          <w:tcPr>
            <w:tcW w:w="9355" w:type="dxa"/>
            <w:shd w:val="clear" w:color="auto" w:fill="E2EFD9" w:themeFill="accent6" w:themeFillTint="33"/>
          </w:tcPr>
          <w:p w14:paraId="35BE750B" w14:textId="77777777" w:rsidR="008400EF" w:rsidRPr="00C01835" w:rsidRDefault="008400EF" w:rsidP="00C01835">
            <w:pPr>
              <w:pStyle w:val="ESSpara"/>
              <w:spacing w:after="0"/>
              <w:ind w:left="-19" w:firstLine="0"/>
              <w:rPr>
                <w:i/>
                <w:sz w:val="20"/>
                <w:szCs w:val="20"/>
              </w:rPr>
            </w:pPr>
            <w:r w:rsidRPr="00C01835">
              <w:rPr>
                <w:i/>
                <w:sz w:val="20"/>
                <w:szCs w:val="20"/>
              </w:rPr>
              <w:t xml:space="preserve">The requirements of this ESS apply to all FIs that receive support from the Bank, either directly from the Bank or the Borrower, or through the Borrower or other FIs, as follows: </w:t>
            </w:r>
          </w:p>
          <w:p w14:paraId="669CF332" w14:textId="77777777" w:rsidR="008400EF" w:rsidRPr="00C01835" w:rsidRDefault="008400EF" w:rsidP="00E80D20">
            <w:pPr>
              <w:numPr>
                <w:ilvl w:val="1"/>
                <w:numId w:val="30"/>
              </w:numPr>
              <w:spacing w:after="0" w:line="240" w:lineRule="auto"/>
              <w:ind w:right="46" w:hanging="360"/>
              <w:rPr>
                <w:bCs/>
                <w:i/>
                <w:iCs/>
                <w:sz w:val="20"/>
                <w:szCs w:val="20"/>
              </w:rPr>
            </w:pPr>
            <w:r w:rsidRPr="00C01835">
              <w:rPr>
                <w:rFonts w:eastAsia="Times New Roman"/>
                <w:i/>
                <w:sz w:val="20"/>
                <w:szCs w:val="20"/>
              </w:rPr>
              <w:t xml:space="preserve">Where Bank support is provided to the FI to fund clearly-defined FI subprojects the requirements of this ESS will apply to each of the FI subprojects; </w:t>
            </w:r>
          </w:p>
          <w:p w14:paraId="2E2ABAF4" w14:textId="67D245D4" w:rsidR="00845327" w:rsidRPr="00C01835" w:rsidRDefault="008400EF" w:rsidP="00E80D20">
            <w:pPr>
              <w:numPr>
                <w:ilvl w:val="1"/>
                <w:numId w:val="30"/>
              </w:numPr>
              <w:spacing w:after="0" w:line="240" w:lineRule="auto"/>
              <w:ind w:right="46" w:hanging="360"/>
              <w:rPr>
                <w:bCs/>
                <w:i/>
                <w:iCs/>
                <w:sz w:val="20"/>
                <w:szCs w:val="20"/>
              </w:rPr>
            </w:pPr>
            <w:r w:rsidRPr="00C01835">
              <w:rPr>
                <w:rFonts w:eastAsia="Times New Roman"/>
                <w:i/>
                <w:sz w:val="20"/>
                <w:szCs w:val="20"/>
              </w:rPr>
              <w:lastRenderedPageBreak/>
              <w:t>Where Bank support is provided to the FI for a general purpose</w:t>
            </w:r>
            <w:r w:rsidR="00002E42">
              <w:rPr>
                <w:rFonts w:eastAsia="Times New Roman"/>
                <w:i/>
                <w:sz w:val="20"/>
                <w:szCs w:val="20"/>
              </w:rPr>
              <w:t>,</w:t>
            </w:r>
            <w:r w:rsidRPr="00C01835">
              <w:rPr>
                <w:rFonts w:eastAsia="Times New Roman"/>
                <w:i/>
                <w:sz w:val="20"/>
                <w:szCs w:val="20"/>
                <w:vertAlign w:val="superscript"/>
              </w:rPr>
              <w:t>3</w:t>
            </w:r>
            <w:r w:rsidRPr="00C01835">
              <w:rPr>
                <w:rFonts w:eastAsia="Times New Roman"/>
                <w:i/>
                <w:sz w:val="20"/>
                <w:szCs w:val="20"/>
              </w:rPr>
              <w:t xml:space="preserve"> the requirements of this ESS will apply to the entire portfolio of the FI’s future subprojects from the date on which the legal agreement becomes effective.</w:t>
            </w:r>
            <w:r w:rsidRPr="00C01835">
              <w:rPr>
                <w:rFonts w:eastAsia="Times New Roman"/>
                <w:sz w:val="20"/>
                <w:szCs w:val="20"/>
              </w:rPr>
              <w:t xml:space="preserve"> </w:t>
            </w:r>
          </w:p>
        </w:tc>
      </w:tr>
      <w:tr w:rsidR="008400EF" w:rsidRPr="00C01835" w14:paraId="713EFA40" w14:textId="77777777" w:rsidTr="00C01835">
        <w:tc>
          <w:tcPr>
            <w:tcW w:w="9355" w:type="dxa"/>
            <w:shd w:val="clear" w:color="auto" w:fill="E2EFD9" w:themeFill="accent6" w:themeFillTint="33"/>
          </w:tcPr>
          <w:p w14:paraId="60066AE0" w14:textId="04547686" w:rsidR="00845327" w:rsidRPr="00C01835" w:rsidRDefault="009763F1" w:rsidP="00C01835">
            <w:pPr>
              <w:pStyle w:val="ESSpara"/>
              <w:numPr>
                <w:ilvl w:val="0"/>
                <w:numId w:val="0"/>
              </w:numPr>
              <w:spacing w:after="0"/>
              <w:ind w:left="-19"/>
              <w:rPr>
                <w:i/>
                <w:sz w:val="20"/>
                <w:szCs w:val="20"/>
              </w:rPr>
            </w:pPr>
            <w:r w:rsidRPr="00C01835">
              <w:rPr>
                <w:bCs/>
                <w:i/>
                <w:iCs/>
                <w:sz w:val="20"/>
                <w:szCs w:val="20"/>
              </w:rPr>
              <w:lastRenderedPageBreak/>
              <w:t>Footnote</w:t>
            </w:r>
            <w:r w:rsidRPr="00C01835">
              <w:rPr>
                <w:i/>
                <w:sz w:val="20"/>
                <w:szCs w:val="20"/>
              </w:rPr>
              <w:t xml:space="preserve"> </w:t>
            </w:r>
            <w:r w:rsidR="008400EF" w:rsidRPr="00C01835">
              <w:rPr>
                <w:i/>
                <w:sz w:val="20"/>
                <w:szCs w:val="20"/>
              </w:rPr>
              <w:t>3. Support for a ‘general purpose’ means that the support cannot be traced to a specific FI subproject or specific types of financing.</w:t>
            </w:r>
          </w:p>
        </w:tc>
      </w:tr>
    </w:tbl>
    <w:p w14:paraId="37062CA4" w14:textId="77777777" w:rsidR="008400EF" w:rsidRPr="00C01835" w:rsidRDefault="008400EF" w:rsidP="00C01835">
      <w:pPr>
        <w:tabs>
          <w:tab w:val="left" w:pos="2204"/>
        </w:tabs>
        <w:spacing w:after="0" w:line="240" w:lineRule="auto"/>
      </w:pP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197D7EF9" w14:textId="77777777" w:rsidTr="00C01835">
        <w:tc>
          <w:tcPr>
            <w:tcW w:w="9355" w:type="dxa"/>
            <w:shd w:val="clear" w:color="auto" w:fill="E2EFD9" w:themeFill="accent6" w:themeFillTint="33"/>
          </w:tcPr>
          <w:p w14:paraId="02EB5737" w14:textId="7ADD19B9" w:rsidR="00845327" w:rsidRPr="00C01835" w:rsidRDefault="008400EF" w:rsidP="007C49E7">
            <w:pPr>
              <w:pStyle w:val="ListParagraph"/>
              <w:numPr>
                <w:ilvl w:val="0"/>
                <w:numId w:val="7"/>
              </w:numPr>
              <w:spacing w:after="0" w:line="240" w:lineRule="auto"/>
              <w:ind w:left="-19" w:right="46" w:firstLine="0"/>
              <w:contextualSpacing w:val="0"/>
              <w:rPr>
                <w:bCs/>
                <w:i/>
                <w:iCs/>
                <w:sz w:val="20"/>
                <w:szCs w:val="20"/>
              </w:rPr>
            </w:pPr>
            <w:r w:rsidRPr="00C01835">
              <w:rPr>
                <w:bCs/>
                <w:i/>
                <w:iCs/>
                <w:sz w:val="20"/>
                <w:szCs w:val="20"/>
              </w:rPr>
              <w:t>Where an FI receiving support from the Bank provides financing or guarantees to other FIs, the FI will apply the requirements of this ESS and will cause each subsequent FI to apply the requirements of this ESS, as specified in paragraph 5 of this ESS.</w:t>
            </w:r>
            <w:r w:rsidR="00C10B9B" w:rsidRPr="00C01835">
              <w:rPr>
                <w:bCs/>
                <w:i/>
                <w:iCs/>
                <w:sz w:val="20"/>
                <w:szCs w:val="20"/>
              </w:rPr>
              <w:t xml:space="preserve"> </w:t>
            </w:r>
          </w:p>
        </w:tc>
      </w:tr>
    </w:tbl>
    <w:p w14:paraId="7E7CCD74" w14:textId="77777777" w:rsidR="008400EF" w:rsidRPr="00C01835" w:rsidRDefault="008400EF" w:rsidP="00C01835">
      <w:pPr>
        <w:pStyle w:val="ListParagraph"/>
        <w:tabs>
          <w:tab w:val="left" w:pos="1080"/>
        </w:tabs>
        <w:spacing w:after="0" w:line="240" w:lineRule="auto"/>
        <w:contextualSpacing w:val="0"/>
      </w:pPr>
    </w:p>
    <w:p w14:paraId="5D9575AF" w14:textId="62A36F06" w:rsidR="008400EF" w:rsidRPr="00C01835" w:rsidRDefault="008400EF" w:rsidP="00C01835">
      <w:pPr>
        <w:spacing w:after="0" w:line="240" w:lineRule="auto"/>
      </w:pPr>
      <w:r w:rsidRPr="00C01835">
        <w:rPr>
          <w:b/>
        </w:rPr>
        <w:t xml:space="preserve">GN6.1. </w:t>
      </w:r>
      <w:r w:rsidR="00CD01EE" w:rsidRPr="00080B12">
        <w:t>The way in which each FI will apply the requirements of ESS9 will depend on the FI’</w:t>
      </w:r>
      <w:r w:rsidR="00080B12" w:rsidRPr="00080B12">
        <w:t>s relationshi</w:t>
      </w:r>
      <w:r w:rsidR="00CD01EE" w:rsidRPr="00080B12">
        <w:t>p to the FI subprojects. As noted in G</w:t>
      </w:r>
      <w:r w:rsidR="00080B12" w:rsidRPr="00080B12">
        <w:t>N</w:t>
      </w:r>
      <w:r w:rsidR="006E4FD3">
        <w:t>7.1</w:t>
      </w:r>
      <w:r w:rsidR="00CD01EE" w:rsidRPr="00080B12">
        <w:t xml:space="preserve">, the ESMS will be established and maintained by the Responsible FI. Where funding is provided through a number of FIs, </w:t>
      </w:r>
      <w:r w:rsidR="00CD01EE">
        <w:t xml:space="preserve">the </w:t>
      </w:r>
      <w:r w:rsidR="00E25ABA" w:rsidRPr="00C01835">
        <w:t xml:space="preserve">requirements </w:t>
      </w:r>
      <w:r w:rsidR="00CD01EE">
        <w:t xml:space="preserve">relating to ESS9 are </w:t>
      </w:r>
      <w:r w:rsidR="00EE5D08" w:rsidRPr="00C01835">
        <w:t xml:space="preserve">incorporated into </w:t>
      </w:r>
      <w:r w:rsidR="00CD01EE">
        <w:t>each</w:t>
      </w:r>
      <w:r w:rsidR="00EE5D08" w:rsidRPr="00C01835">
        <w:t xml:space="preserve"> </w:t>
      </w:r>
      <w:r w:rsidR="00CD01EE">
        <w:t xml:space="preserve">of the </w:t>
      </w:r>
      <w:r w:rsidR="00EE5D08" w:rsidRPr="00C01835">
        <w:t xml:space="preserve">contractual agreements </w:t>
      </w:r>
      <w:r w:rsidR="00C37FCB" w:rsidRPr="00C01835">
        <w:t xml:space="preserve">between </w:t>
      </w:r>
      <w:r w:rsidR="00080B12">
        <w:t>an</w:t>
      </w:r>
      <w:r w:rsidR="00C37FCB" w:rsidRPr="00C01835">
        <w:t xml:space="preserve"> FI and </w:t>
      </w:r>
      <w:r w:rsidR="002213D4">
        <w:t xml:space="preserve">the </w:t>
      </w:r>
      <w:r w:rsidR="00EB7C1C" w:rsidRPr="00C01835">
        <w:t>subsequent FIs</w:t>
      </w:r>
      <w:r w:rsidR="00C37FCB" w:rsidRPr="00C01835">
        <w:t>,</w:t>
      </w:r>
      <w:r w:rsidR="00E25ABA" w:rsidRPr="00C01835">
        <w:t xml:space="preserve"> to which </w:t>
      </w:r>
      <w:r w:rsidR="00C37FCB" w:rsidRPr="00C01835">
        <w:t>loans, equity,</w:t>
      </w:r>
      <w:r w:rsidR="00E25ABA" w:rsidRPr="00C01835">
        <w:t xml:space="preserve"> </w:t>
      </w:r>
      <w:r w:rsidR="009F1A2A" w:rsidRPr="00C01835">
        <w:t>financing or guarantees</w:t>
      </w:r>
      <w:r w:rsidR="00C37FCB" w:rsidRPr="00C01835">
        <w:t xml:space="preserve"> are provided</w:t>
      </w:r>
      <w:r w:rsidRPr="00C01835">
        <w:t xml:space="preserve">. </w:t>
      </w:r>
    </w:p>
    <w:p w14:paraId="320CDF9A" w14:textId="77777777" w:rsidR="00E25ABA" w:rsidRPr="00C01835" w:rsidRDefault="00E25ABA" w:rsidP="00C01835">
      <w:pPr>
        <w:spacing w:after="0" w:line="240" w:lineRule="auto"/>
      </w:pPr>
    </w:p>
    <w:tbl>
      <w:tblPr>
        <w:tblStyle w:val="TableGrid0"/>
        <w:tblW w:w="9355" w:type="dxa"/>
        <w:tblLayout w:type="fixed"/>
        <w:tblLook w:val="04A0" w:firstRow="1" w:lastRow="0" w:firstColumn="1" w:lastColumn="0" w:noHBand="0" w:noVBand="1"/>
      </w:tblPr>
      <w:tblGrid>
        <w:gridCol w:w="9355"/>
      </w:tblGrid>
      <w:tr w:rsidR="008400EF" w:rsidRPr="00C01835" w14:paraId="62E00C69" w14:textId="77777777" w:rsidTr="008400EF">
        <w:tc>
          <w:tcPr>
            <w:tcW w:w="9355" w:type="dxa"/>
            <w:shd w:val="clear" w:color="auto" w:fill="E7E6E6" w:themeFill="background2"/>
          </w:tcPr>
          <w:p w14:paraId="49D09B3B" w14:textId="77777777" w:rsidR="008400EF" w:rsidRPr="00C01835" w:rsidRDefault="008400EF" w:rsidP="00C01835">
            <w:pPr>
              <w:pStyle w:val="Heading1"/>
              <w:numPr>
                <w:ilvl w:val="0"/>
                <w:numId w:val="0"/>
              </w:numPr>
              <w:spacing w:before="0" w:line="240" w:lineRule="auto"/>
              <w:jc w:val="left"/>
              <w:outlineLvl w:val="0"/>
              <w:rPr>
                <w:b w:val="0"/>
                <w:bCs w:val="0"/>
                <w:i/>
                <w:iCs/>
              </w:rPr>
            </w:pPr>
            <w:bookmarkStart w:id="3" w:name="_Toc494045540"/>
            <w:r w:rsidRPr="00C01835">
              <w:rPr>
                <w:i/>
                <w:color w:val="auto"/>
                <w:sz w:val="22"/>
                <w:szCs w:val="22"/>
              </w:rPr>
              <w:t>Requirements</w:t>
            </w:r>
            <w:bookmarkEnd w:id="3"/>
          </w:p>
        </w:tc>
      </w:tr>
    </w:tbl>
    <w:p w14:paraId="4848FA27" w14:textId="77777777" w:rsidR="008400EF" w:rsidRPr="00C01835" w:rsidRDefault="008400EF" w:rsidP="00C01835">
      <w:pPr>
        <w:spacing w:after="0" w:line="240" w:lineRule="auto"/>
      </w:pP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5CC0ADD0" w14:textId="77777777" w:rsidTr="00C01835">
        <w:tc>
          <w:tcPr>
            <w:tcW w:w="9355" w:type="dxa"/>
            <w:shd w:val="clear" w:color="auto" w:fill="E2EFD9" w:themeFill="accent6" w:themeFillTint="33"/>
          </w:tcPr>
          <w:p w14:paraId="32B17420" w14:textId="232A76EA" w:rsidR="00845327" w:rsidRPr="00C01835" w:rsidRDefault="008400EF" w:rsidP="007C49E7">
            <w:pPr>
              <w:pStyle w:val="ESSpara"/>
              <w:numPr>
                <w:ilvl w:val="0"/>
                <w:numId w:val="8"/>
              </w:numPr>
              <w:spacing w:after="0"/>
              <w:ind w:left="-19" w:firstLine="0"/>
              <w:rPr>
                <w:bCs/>
                <w:i/>
                <w:iCs/>
                <w:sz w:val="20"/>
                <w:szCs w:val="20"/>
              </w:rPr>
            </w:pPr>
            <w:r w:rsidRPr="00C01835">
              <w:rPr>
                <w:bCs/>
                <w:i/>
                <w:iCs/>
                <w:sz w:val="20"/>
                <w:szCs w:val="20"/>
              </w:rPr>
              <w:t>FIs will put in place and maintain an ESMS to identify, assess, manage, and monitor the environmental and social risks and impacts of FI subprojects on an ongoing basis. The ESMS will be commensurate with the nature and magnitude of environmental and social risks and impacts of FI subprojects, the types of financing, and the overall risk aggregated at the portfolio level.</w:t>
            </w:r>
            <w:r w:rsidRPr="00C01835">
              <w:rPr>
                <w:bCs/>
                <w:i/>
                <w:iCs/>
                <w:sz w:val="20"/>
                <w:szCs w:val="20"/>
                <w:vertAlign w:val="superscript"/>
              </w:rPr>
              <w:t>4</w:t>
            </w:r>
            <w:r w:rsidRPr="00C01835">
              <w:rPr>
                <w:bCs/>
                <w:i/>
                <w:iCs/>
                <w:sz w:val="20"/>
                <w:szCs w:val="20"/>
              </w:rPr>
              <w:t xml:space="preserve"> Where the FI can demonstrate that it already has an ESMS in place, it will provide adequate documented evidence of such an ESMS, indicating which elements (if any) will be enhanced or modified to meet the requirements of this ESS.</w:t>
            </w:r>
            <w:r w:rsidRPr="00C01835">
              <w:rPr>
                <w:bCs/>
                <w:i/>
                <w:iCs/>
                <w:sz w:val="20"/>
                <w:szCs w:val="20"/>
                <w:vertAlign w:val="superscript"/>
              </w:rPr>
              <w:t>5</w:t>
            </w:r>
          </w:p>
        </w:tc>
      </w:tr>
      <w:tr w:rsidR="008400EF" w:rsidRPr="00C01835" w14:paraId="2D39F4A7" w14:textId="77777777" w:rsidTr="00C01835">
        <w:tc>
          <w:tcPr>
            <w:tcW w:w="9355" w:type="dxa"/>
            <w:shd w:val="clear" w:color="auto" w:fill="E2EFD9" w:themeFill="accent6" w:themeFillTint="33"/>
          </w:tcPr>
          <w:p w14:paraId="66D8FB9F" w14:textId="1457FE93" w:rsidR="00845327" w:rsidRPr="00C01835" w:rsidRDefault="008400EF" w:rsidP="00C01835">
            <w:pPr>
              <w:pStyle w:val="ESSpara"/>
              <w:numPr>
                <w:ilvl w:val="0"/>
                <w:numId w:val="0"/>
              </w:numPr>
              <w:spacing w:after="0"/>
              <w:ind w:left="-23"/>
              <w:rPr>
                <w:bCs/>
                <w:i/>
                <w:iCs/>
                <w:sz w:val="20"/>
                <w:szCs w:val="20"/>
              </w:rPr>
            </w:pPr>
            <w:r w:rsidRPr="00C01835">
              <w:rPr>
                <w:bCs/>
                <w:i/>
                <w:iCs/>
                <w:sz w:val="20"/>
                <w:szCs w:val="20"/>
              </w:rPr>
              <w:t>F</w:t>
            </w:r>
            <w:r w:rsidR="009763F1" w:rsidRPr="00C01835">
              <w:rPr>
                <w:bCs/>
                <w:i/>
                <w:iCs/>
                <w:sz w:val="20"/>
                <w:szCs w:val="20"/>
              </w:rPr>
              <w:t xml:space="preserve">ootnote </w:t>
            </w:r>
            <w:r w:rsidRPr="00C01835">
              <w:rPr>
                <w:bCs/>
                <w:i/>
                <w:iCs/>
                <w:sz w:val="20"/>
                <w:szCs w:val="20"/>
              </w:rPr>
              <w:t>4.</w:t>
            </w:r>
            <w:r w:rsidRPr="00C01835">
              <w:rPr>
                <w:sz w:val="20"/>
                <w:szCs w:val="20"/>
              </w:rPr>
              <w:t xml:space="preserve"> </w:t>
            </w:r>
            <w:r w:rsidRPr="00C01835">
              <w:rPr>
                <w:bCs/>
                <w:i/>
                <w:iCs/>
                <w:sz w:val="20"/>
                <w:szCs w:val="20"/>
              </w:rPr>
              <w:t>For the purpose of assessing the adequacy of the ESMS, the FI portfolio means the portfolio of current and/or proposed subprojects to which this ESS applies, as described in paragraph 5.</w:t>
            </w:r>
          </w:p>
        </w:tc>
      </w:tr>
      <w:tr w:rsidR="008400EF" w:rsidRPr="00C01835" w14:paraId="6F513AB0" w14:textId="77777777" w:rsidTr="00C01835">
        <w:tc>
          <w:tcPr>
            <w:tcW w:w="9355" w:type="dxa"/>
            <w:shd w:val="clear" w:color="auto" w:fill="E2EFD9" w:themeFill="accent6" w:themeFillTint="33"/>
          </w:tcPr>
          <w:p w14:paraId="236B881B" w14:textId="0C3537AE" w:rsidR="00845327" w:rsidRPr="00C01835" w:rsidRDefault="009763F1" w:rsidP="00C01835">
            <w:pPr>
              <w:pStyle w:val="ESSpara"/>
              <w:numPr>
                <w:ilvl w:val="0"/>
                <w:numId w:val="0"/>
              </w:numPr>
              <w:spacing w:after="0"/>
              <w:ind w:left="-23"/>
              <w:rPr>
                <w:bCs/>
                <w:i/>
                <w:iCs/>
                <w:sz w:val="20"/>
                <w:szCs w:val="20"/>
              </w:rPr>
            </w:pPr>
            <w:r w:rsidRPr="00C01835">
              <w:rPr>
                <w:bCs/>
                <w:i/>
                <w:iCs/>
                <w:sz w:val="20"/>
                <w:szCs w:val="20"/>
              </w:rPr>
              <w:t xml:space="preserve">Footnote </w:t>
            </w:r>
            <w:r w:rsidR="008400EF" w:rsidRPr="00C01835">
              <w:rPr>
                <w:bCs/>
                <w:i/>
                <w:iCs/>
                <w:sz w:val="20"/>
                <w:szCs w:val="20"/>
              </w:rPr>
              <w:t>5.</w:t>
            </w:r>
            <w:r w:rsidR="008400EF" w:rsidRPr="00C01835">
              <w:rPr>
                <w:sz w:val="20"/>
                <w:szCs w:val="20"/>
              </w:rPr>
              <w:t xml:space="preserve"> </w:t>
            </w:r>
            <w:r w:rsidR="008400EF" w:rsidRPr="00C01835">
              <w:rPr>
                <w:bCs/>
                <w:i/>
                <w:iCs/>
                <w:sz w:val="20"/>
                <w:szCs w:val="20"/>
              </w:rPr>
              <w:t>Where the Bank is providing support to a project involving Financial Intermediaries (FIs), and other multilateral or bilateral funding agencies, including IFC and MIGA, will or have already provided financing to the same FIs, the Bank may agree to rely on the requirements of such other agencies for the assessment and management of environmental and social risks and impacts of the project, including the institutional arrangements already established by the participating FIs, provided that such requirements will enable the project to achieve objectives materially consistent with this ESS and other ESSs, as applicable. Following review by the Bank, an FI may be required to enhance its ESMS, as deemed necessary by the Bank.</w:t>
            </w:r>
          </w:p>
        </w:tc>
      </w:tr>
    </w:tbl>
    <w:p w14:paraId="1A456BB3" w14:textId="77777777" w:rsidR="008400EF" w:rsidRPr="00C01835" w:rsidRDefault="008400EF" w:rsidP="00C01835">
      <w:pPr>
        <w:tabs>
          <w:tab w:val="left" w:pos="2204"/>
        </w:tabs>
        <w:spacing w:after="0" w:line="240" w:lineRule="auto"/>
      </w:pPr>
    </w:p>
    <w:p w14:paraId="31040EC2" w14:textId="56D71232" w:rsidR="008400EF" w:rsidRPr="00C01835" w:rsidRDefault="008400EF" w:rsidP="00C01835">
      <w:pPr>
        <w:tabs>
          <w:tab w:val="left" w:pos="2204"/>
        </w:tabs>
        <w:spacing w:after="0" w:line="240" w:lineRule="auto"/>
        <w:rPr>
          <w:rFonts w:cstheme="minorHAnsi"/>
        </w:rPr>
      </w:pPr>
      <w:r w:rsidRPr="00C01835">
        <w:rPr>
          <w:b/>
        </w:rPr>
        <w:t>GN7.</w:t>
      </w:r>
      <w:r w:rsidR="00BE4C45">
        <w:rPr>
          <w:b/>
        </w:rPr>
        <w:t>1</w:t>
      </w:r>
      <w:r w:rsidRPr="00C01835">
        <w:rPr>
          <w:b/>
        </w:rPr>
        <w:t xml:space="preserve">. </w:t>
      </w:r>
      <w:r w:rsidR="00BB348C" w:rsidRPr="00BB348C">
        <w:t>The FI that is required to develop and mai</w:t>
      </w:r>
      <w:r w:rsidR="00D01E68">
        <w:t>ntain the ESMS is the FI that has</w:t>
      </w:r>
      <w:r w:rsidR="00BB348C" w:rsidRPr="00BB348C">
        <w:t xml:space="preserve"> direct</w:t>
      </w:r>
      <w:r w:rsidR="00D01E68">
        <w:t xml:space="preserve"> responsibility</w:t>
      </w:r>
      <w:r w:rsidR="00BB348C" w:rsidRPr="00BB348C">
        <w:t xml:space="preserve"> for selecting </w:t>
      </w:r>
      <w:r w:rsidR="00BE4C45">
        <w:t xml:space="preserve">and funding </w:t>
      </w:r>
      <w:r w:rsidR="00BB348C" w:rsidRPr="00BB348C">
        <w:t>the FI subprojects</w:t>
      </w:r>
      <w:r w:rsidR="00B35DBA">
        <w:t xml:space="preserve"> (the Responsible FI)</w:t>
      </w:r>
      <w:r w:rsidR="00BB348C" w:rsidRPr="00BB348C">
        <w:t xml:space="preserve">. </w:t>
      </w:r>
      <w:r w:rsidR="00E97CD8">
        <w:t xml:space="preserve">The Responsible </w:t>
      </w:r>
      <w:r w:rsidR="00D01E68">
        <w:t xml:space="preserve">FI </w:t>
      </w:r>
      <w:r w:rsidR="001E3AD9" w:rsidRPr="00C01835">
        <w:rPr>
          <w:rFonts w:cstheme="minorHAnsi"/>
        </w:rPr>
        <w:t>develop</w:t>
      </w:r>
      <w:r w:rsidR="00587C74">
        <w:rPr>
          <w:rFonts w:cstheme="minorHAnsi"/>
        </w:rPr>
        <w:t>s</w:t>
      </w:r>
      <w:r w:rsidR="001E3AD9" w:rsidRPr="00C01835">
        <w:rPr>
          <w:rFonts w:cstheme="minorHAnsi"/>
        </w:rPr>
        <w:t xml:space="preserve"> and maintain</w:t>
      </w:r>
      <w:r w:rsidR="00587C74">
        <w:rPr>
          <w:rFonts w:cstheme="minorHAnsi"/>
        </w:rPr>
        <w:t>s</w:t>
      </w:r>
      <w:r w:rsidR="00D01E68">
        <w:rPr>
          <w:rFonts w:cstheme="minorHAnsi"/>
        </w:rPr>
        <w:t xml:space="preserve"> the ESMS</w:t>
      </w:r>
      <w:r w:rsidR="00C71385">
        <w:rPr>
          <w:rFonts w:cstheme="minorHAnsi"/>
        </w:rPr>
        <w:t xml:space="preserve">, so that the </w:t>
      </w:r>
      <w:r w:rsidRPr="00C01835">
        <w:rPr>
          <w:rFonts w:cstheme="minorHAnsi"/>
        </w:rPr>
        <w:t xml:space="preserve">environmental and social risks </w:t>
      </w:r>
      <w:r w:rsidR="001E3AD9" w:rsidRPr="00C01835">
        <w:rPr>
          <w:rFonts w:cstheme="minorHAnsi"/>
        </w:rPr>
        <w:t xml:space="preserve">and impacts </w:t>
      </w:r>
      <w:r w:rsidR="00D01E68">
        <w:rPr>
          <w:rFonts w:cstheme="minorHAnsi"/>
        </w:rPr>
        <w:t>of the</w:t>
      </w:r>
      <w:r w:rsidRPr="00C01835">
        <w:rPr>
          <w:rFonts w:cstheme="minorHAnsi"/>
        </w:rPr>
        <w:t xml:space="preserve"> </w:t>
      </w:r>
      <w:r w:rsidR="00D01E68">
        <w:rPr>
          <w:rFonts w:cstheme="minorHAnsi"/>
        </w:rPr>
        <w:t xml:space="preserve">FI </w:t>
      </w:r>
      <w:r w:rsidRPr="00C01835">
        <w:rPr>
          <w:rFonts w:cstheme="minorHAnsi"/>
        </w:rPr>
        <w:t xml:space="preserve">subprojects financed or guaranteed by </w:t>
      </w:r>
      <w:r w:rsidR="00E97CD8">
        <w:rPr>
          <w:rFonts w:cstheme="minorHAnsi"/>
        </w:rPr>
        <w:t xml:space="preserve">the Responsible FI </w:t>
      </w:r>
      <w:r w:rsidR="00C71385">
        <w:rPr>
          <w:rFonts w:cstheme="minorHAnsi"/>
        </w:rPr>
        <w:t>can be identified</w:t>
      </w:r>
      <w:r w:rsidR="00C71385" w:rsidRPr="00C01835">
        <w:rPr>
          <w:rFonts w:cstheme="minorHAnsi"/>
        </w:rPr>
        <w:t>, assess</w:t>
      </w:r>
      <w:r w:rsidR="00F263CE">
        <w:rPr>
          <w:rFonts w:cstheme="minorHAnsi"/>
        </w:rPr>
        <w:t>ed</w:t>
      </w:r>
      <w:r w:rsidR="00C71385" w:rsidRPr="00C01835">
        <w:rPr>
          <w:rFonts w:cstheme="minorHAnsi"/>
        </w:rPr>
        <w:t>, manage</w:t>
      </w:r>
      <w:r w:rsidR="00F263CE">
        <w:rPr>
          <w:rFonts w:cstheme="minorHAnsi"/>
        </w:rPr>
        <w:t>d</w:t>
      </w:r>
      <w:r w:rsidR="00C71385" w:rsidRPr="00C01835">
        <w:rPr>
          <w:rFonts w:cstheme="minorHAnsi"/>
        </w:rPr>
        <w:t xml:space="preserve"> and monitor</w:t>
      </w:r>
      <w:r w:rsidR="00F263CE">
        <w:rPr>
          <w:rFonts w:cstheme="minorHAnsi"/>
        </w:rPr>
        <w:t>ed appropriately</w:t>
      </w:r>
      <w:r w:rsidRPr="00C01835">
        <w:rPr>
          <w:rFonts w:cstheme="minorHAnsi"/>
        </w:rPr>
        <w:t xml:space="preserve">. </w:t>
      </w:r>
    </w:p>
    <w:p w14:paraId="03B6F090" w14:textId="77777777" w:rsidR="008400EF" w:rsidRPr="00C01835" w:rsidRDefault="008400EF" w:rsidP="00C01835">
      <w:pPr>
        <w:tabs>
          <w:tab w:val="left" w:pos="2204"/>
        </w:tabs>
        <w:spacing w:after="0" w:line="240" w:lineRule="auto"/>
      </w:pPr>
    </w:p>
    <w:p w14:paraId="4EE8CEAC" w14:textId="4356A746" w:rsidR="00A8577F" w:rsidRPr="00C01835" w:rsidRDefault="008400EF" w:rsidP="00C01835">
      <w:pPr>
        <w:tabs>
          <w:tab w:val="left" w:pos="2204"/>
        </w:tabs>
        <w:spacing w:after="0" w:line="240" w:lineRule="auto"/>
      </w:pPr>
      <w:r w:rsidRPr="00C01835">
        <w:rPr>
          <w:b/>
        </w:rPr>
        <w:t>GN7.</w:t>
      </w:r>
      <w:r w:rsidR="00080B12">
        <w:rPr>
          <w:b/>
        </w:rPr>
        <w:t>2</w:t>
      </w:r>
      <w:r w:rsidRPr="00C01835">
        <w:rPr>
          <w:b/>
        </w:rPr>
        <w:t>.</w:t>
      </w:r>
      <w:r w:rsidRPr="00C01835">
        <w:t xml:space="preserve"> The ESMS include</w:t>
      </w:r>
      <w:r w:rsidR="00F263CE">
        <w:t>s</w:t>
      </w:r>
      <w:r w:rsidRPr="00C01835">
        <w:t xml:space="preserve"> processes </w:t>
      </w:r>
      <w:r w:rsidR="00F263CE">
        <w:t xml:space="preserve">for </w:t>
      </w:r>
      <w:r w:rsidRPr="00C01835">
        <w:t>screen</w:t>
      </w:r>
      <w:r w:rsidR="00F263CE">
        <w:t>ing</w:t>
      </w:r>
      <w:r w:rsidRPr="00C01835">
        <w:t xml:space="preserve"> and categoriz</w:t>
      </w:r>
      <w:r w:rsidR="00F263CE">
        <w:t>ing</w:t>
      </w:r>
      <w:r w:rsidRPr="00C01835">
        <w:t xml:space="preserve"> </w:t>
      </w:r>
      <w:r w:rsidR="00EC626F" w:rsidRPr="00C01835">
        <w:t>proposed subprojects</w:t>
      </w:r>
      <w:r w:rsidRPr="00C01835">
        <w:t xml:space="preserve"> based on their </w:t>
      </w:r>
      <w:r w:rsidR="00EC626F" w:rsidRPr="00C01835">
        <w:t xml:space="preserve">potential </w:t>
      </w:r>
      <w:r w:rsidRPr="00C01835">
        <w:t>environmental and social risk</w:t>
      </w:r>
      <w:r w:rsidR="001E3AD9" w:rsidRPr="00C01835">
        <w:t>s</w:t>
      </w:r>
      <w:r w:rsidR="00EC626F" w:rsidRPr="00C01835">
        <w:t xml:space="preserve"> and impacts</w:t>
      </w:r>
      <w:r w:rsidRPr="00C01835">
        <w:t>, conduct</w:t>
      </w:r>
      <w:r w:rsidR="00F263CE">
        <w:t>ing</w:t>
      </w:r>
      <w:r w:rsidRPr="00C01835">
        <w:t xml:space="preserve"> </w:t>
      </w:r>
      <w:r w:rsidR="00EC626F" w:rsidRPr="00C01835">
        <w:t xml:space="preserve">environmental and social </w:t>
      </w:r>
      <w:r w:rsidRPr="00C01835">
        <w:t>assessments and monitor</w:t>
      </w:r>
      <w:r w:rsidR="00F263CE">
        <w:t>ing</w:t>
      </w:r>
      <w:r w:rsidRPr="00C01835">
        <w:t xml:space="preserve"> subproject enviro</w:t>
      </w:r>
      <w:r w:rsidR="00B17B75" w:rsidRPr="00F73059">
        <w:rPr>
          <w:i/>
          <w:iCs/>
          <w:noProof/>
          <w:sz w:val="24"/>
          <w:szCs w:val="24"/>
          <w:lang w:eastAsia="en-US"/>
        </w:rPr>
        <mc:AlternateContent>
          <mc:Choice Requires="wps">
            <w:drawing>
              <wp:anchor distT="45720" distB="45720" distL="114300" distR="114300" simplePos="0" relativeHeight="251656704" behindDoc="0" locked="0" layoutInCell="1" allowOverlap="1" wp14:anchorId="2023C590" wp14:editId="525F301B">
                <wp:simplePos x="0" y="0"/>
                <wp:positionH relativeFrom="page">
                  <wp:posOffset>7150735</wp:posOffset>
                </wp:positionH>
                <wp:positionV relativeFrom="page">
                  <wp:posOffset>8229600</wp:posOffset>
                </wp:positionV>
                <wp:extent cx="914400" cy="301752"/>
                <wp:effectExtent l="1587" t="0" r="1588" b="1587"/>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A9712F8" w14:textId="77777777" w:rsidR="005A4306" w:rsidRPr="00F73059" w:rsidRDefault="005A4306" w:rsidP="00B17B75">
                            <w:pPr>
                              <w:jc w:val="center"/>
                              <w:rPr>
                                <w:b/>
                                <w:color w:val="FFFFFF" w:themeColor="background1"/>
                                <w:sz w:val="28"/>
                                <w:szCs w:val="28"/>
                              </w:rPr>
                            </w:pPr>
                            <w:r>
                              <w:rPr>
                                <w:b/>
                                <w:color w:val="FFFFFF" w:themeColor="background1"/>
                                <w:sz w:val="28"/>
                                <w:szCs w:val="28"/>
                              </w:rPr>
                              <w:t>ESS9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3C590" id="Text Box 6" o:spid="_x0000_s1030" type="#_x0000_t202" style="position:absolute;left:0;text-align:left;margin-left:563.05pt;margin-top:9in;width:1in;height:23.75pt;rotation:-90;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" fillcolor="#70ad47 [3209]" stroked="f">
                <v:textbox>
                  <w:txbxContent>
                    <w:p w14:paraId="2A9712F8" w14:textId="77777777" w:rsidR="005A4306" w:rsidRPr="00F73059" w:rsidRDefault="005A4306" w:rsidP="00B17B75">
                      <w:pPr>
                        <w:jc w:val="center"/>
                        <w:rPr>
                          <w:b/>
                          <w:color w:val="FFFFFF" w:themeColor="background1"/>
                          <w:sz w:val="28"/>
                          <w:szCs w:val="28"/>
                        </w:rPr>
                      </w:pPr>
                      <w:r>
                        <w:rPr>
                          <w:b/>
                          <w:color w:val="FFFFFF" w:themeColor="background1"/>
                          <w:sz w:val="28"/>
                          <w:szCs w:val="28"/>
                        </w:rPr>
                        <w:t>ESS9</w:t>
                      </w:r>
                    </w:p>
                  </w:txbxContent>
                </v:textbox>
                <w10:wrap anchorx="page" anchory="page"/>
              </v:shape>
            </w:pict>
          </mc:Fallback>
        </mc:AlternateContent>
      </w:r>
      <w:r w:rsidRPr="00C01835">
        <w:t>nmental and social performance.</w:t>
      </w:r>
      <w:r w:rsidR="00C01835">
        <w:t xml:space="preserve"> </w:t>
      </w:r>
      <w:r w:rsidR="003C5353">
        <w:rPr>
          <w:bCs/>
          <w:iCs/>
        </w:rPr>
        <w:t>An existing</w:t>
      </w:r>
      <w:r w:rsidR="00D01E68">
        <w:rPr>
          <w:bCs/>
          <w:iCs/>
        </w:rPr>
        <w:t xml:space="preserve"> </w:t>
      </w:r>
      <w:r w:rsidR="00A8577F" w:rsidRPr="00C01835">
        <w:rPr>
          <w:bCs/>
          <w:iCs/>
        </w:rPr>
        <w:t xml:space="preserve">ESMS </w:t>
      </w:r>
      <w:r w:rsidR="00AC4DC4">
        <w:rPr>
          <w:bCs/>
          <w:iCs/>
        </w:rPr>
        <w:t xml:space="preserve">may need to be strengthened to </w:t>
      </w:r>
      <w:r w:rsidR="001E3AD9" w:rsidRPr="00C01835">
        <w:rPr>
          <w:bCs/>
          <w:iCs/>
        </w:rPr>
        <w:t>meet the requirements</w:t>
      </w:r>
      <w:r w:rsidR="00D2258A" w:rsidRPr="00C01835">
        <w:rPr>
          <w:bCs/>
          <w:iCs/>
        </w:rPr>
        <w:t xml:space="preserve"> of </w:t>
      </w:r>
      <w:r w:rsidR="00ED39AA">
        <w:rPr>
          <w:bCs/>
          <w:iCs/>
        </w:rPr>
        <w:t>ESS9</w:t>
      </w:r>
      <w:r w:rsidR="00D2258A" w:rsidRPr="00C01835">
        <w:rPr>
          <w:bCs/>
          <w:iCs/>
        </w:rPr>
        <w:t xml:space="preserve">, </w:t>
      </w:r>
      <w:r w:rsidR="00AC4DC4">
        <w:rPr>
          <w:bCs/>
          <w:iCs/>
        </w:rPr>
        <w:t xml:space="preserve">in which case it is recommended that </w:t>
      </w:r>
      <w:r w:rsidR="00A8577F" w:rsidRPr="00C01835">
        <w:rPr>
          <w:bCs/>
          <w:iCs/>
        </w:rPr>
        <w:t>a time-bound action plan</w:t>
      </w:r>
      <w:r w:rsidR="000F5F81" w:rsidRPr="00C01835">
        <w:rPr>
          <w:bCs/>
          <w:iCs/>
        </w:rPr>
        <w:t xml:space="preserve"> </w:t>
      </w:r>
      <w:r w:rsidR="00AC4DC4">
        <w:rPr>
          <w:bCs/>
          <w:iCs/>
        </w:rPr>
        <w:t>be used by the FI for this purpose</w:t>
      </w:r>
      <w:r w:rsidR="008C5AC5" w:rsidRPr="00C01835">
        <w:rPr>
          <w:bCs/>
          <w:iCs/>
        </w:rPr>
        <w:t xml:space="preserve">. </w:t>
      </w:r>
    </w:p>
    <w:p w14:paraId="157A2363" w14:textId="77777777" w:rsidR="008400EF" w:rsidRPr="00C01835" w:rsidRDefault="008400EF" w:rsidP="00C01835">
      <w:pPr>
        <w:tabs>
          <w:tab w:val="left" w:pos="2204"/>
        </w:tabs>
        <w:spacing w:after="0" w:line="240" w:lineRule="auto"/>
      </w:pPr>
    </w:p>
    <w:p w14:paraId="6628FEB0" w14:textId="38140E7F" w:rsidR="00080B12" w:rsidRDefault="008400EF" w:rsidP="00C01835">
      <w:pPr>
        <w:tabs>
          <w:tab w:val="left" w:pos="2204"/>
        </w:tabs>
        <w:spacing w:after="0" w:line="240" w:lineRule="auto"/>
      </w:pPr>
      <w:r w:rsidRPr="00C01835">
        <w:rPr>
          <w:b/>
        </w:rPr>
        <w:lastRenderedPageBreak/>
        <w:t>GN7.</w:t>
      </w:r>
      <w:r w:rsidR="00080B12">
        <w:rPr>
          <w:b/>
        </w:rPr>
        <w:t>3</w:t>
      </w:r>
      <w:r w:rsidRPr="00C01835">
        <w:rPr>
          <w:b/>
        </w:rPr>
        <w:t>.</w:t>
      </w:r>
      <w:r w:rsidRPr="00C01835">
        <w:t xml:space="preserve"> </w:t>
      </w:r>
      <w:r w:rsidR="0055064F">
        <w:t xml:space="preserve">An effective </w:t>
      </w:r>
      <w:r w:rsidRPr="00C01835">
        <w:t>ESMS</w:t>
      </w:r>
      <w:r w:rsidR="0055064F">
        <w:t xml:space="preserve"> is </w:t>
      </w:r>
      <w:r w:rsidRPr="00C01835">
        <w:t xml:space="preserve">commensurate with the highest level of </w:t>
      </w:r>
      <w:r w:rsidR="00613248" w:rsidRPr="00C01835">
        <w:t xml:space="preserve">environment and social </w:t>
      </w:r>
      <w:r w:rsidRPr="00C01835">
        <w:t xml:space="preserve">risk that is anticipated in </w:t>
      </w:r>
      <w:r w:rsidR="00B40358">
        <w:t>FI</w:t>
      </w:r>
      <w:r w:rsidR="0055064F">
        <w:t xml:space="preserve"> subprojects</w:t>
      </w:r>
      <w:r w:rsidR="00B40358">
        <w:t xml:space="preserve"> and/or portfolio</w:t>
      </w:r>
      <w:r w:rsidRPr="00C01835">
        <w:t xml:space="preserve">. </w:t>
      </w:r>
      <w:r w:rsidR="00B40358">
        <w:t>T</w:t>
      </w:r>
      <w:r w:rsidR="0055064F">
        <w:t xml:space="preserve">he </w:t>
      </w:r>
      <w:r w:rsidRPr="00C01835">
        <w:t xml:space="preserve">ESMS </w:t>
      </w:r>
      <w:r w:rsidR="00B40358">
        <w:t xml:space="preserve">is reviewed </w:t>
      </w:r>
      <w:r w:rsidR="0055064F">
        <w:t>and enhance</w:t>
      </w:r>
      <w:r w:rsidR="00B40358">
        <w:t>d</w:t>
      </w:r>
      <w:r w:rsidR="00DE5B74">
        <w:t xml:space="preserve"> by the responsible FI</w:t>
      </w:r>
      <w:r w:rsidR="0055064F">
        <w:t xml:space="preserve"> as needed </w:t>
      </w:r>
      <w:r w:rsidRPr="00C01835">
        <w:t xml:space="preserve">prior to supporting a new </w:t>
      </w:r>
      <w:r w:rsidR="00B40358">
        <w:t xml:space="preserve">FI </w:t>
      </w:r>
      <w:r w:rsidRPr="00C01835">
        <w:t xml:space="preserve">subproject with higher levels of </w:t>
      </w:r>
      <w:r w:rsidR="00613248" w:rsidRPr="00C01835">
        <w:t xml:space="preserve">environmental and social </w:t>
      </w:r>
      <w:r w:rsidRPr="00C01835">
        <w:t>risk</w:t>
      </w:r>
      <w:r w:rsidR="00363BB1" w:rsidRPr="00C01835">
        <w:t>s</w:t>
      </w:r>
      <w:r w:rsidR="00613248" w:rsidRPr="00C01835">
        <w:t xml:space="preserve"> and impacts</w:t>
      </w:r>
      <w:r w:rsidRPr="00C01835">
        <w:t xml:space="preserve">. </w:t>
      </w:r>
    </w:p>
    <w:p w14:paraId="4DA059C7" w14:textId="77777777" w:rsidR="004E0C26" w:rsidRDefault="004E0C26" w:rsidP="00C01835">
      <w:pPr>
        <w:tabs>
          <w:tab w:val="left" w:pos="2204"/>
        </w:tabs>
        <w:spacing w:after="0" w:line="240" w:lineRule="auto"/>
      </w:pPr>
    </w:p>
    <w:p w14:paraId="09AC4F21" w14:textId="4A0CD855" w:rsidR="008400EF" w:rsidRPr="00080B12" w:rsidRDefault="00080B12" w:rsidP="00080B12">
      <w:pPr>
        <w:tabs>
          <w:tab w:val="left" w:pos="2204"/>
        </w:tabs>
        <w:spacing w:after="0" w:line="240" w:lineRule="auto"/>
      </w:pPr>
      <w:r w:rsidRPr="00080B12">
        <w:rPr>
          <w:b/>
        </w:rPr>
        <w:t>GN7.4</w:t>
      </w:r>
      <w:r>
        <w:t xml:space="preserve"> </w:t>
      </w:r>
      <w:r w:rsidR="005C5724">
        <w:t>Where the Borrower on-lends Bank funds, the contractual arrangements between on-lending parties should set out the requirements of ESS9 including establishment of ESMS and the application of ESS2</w:t>
      </w:r>
      <w:r w:rsidR="00B35DBA">
        <w:t xml:space="preserve"> to the Responsible FI</w:t>
      </w:r>
      <w:r w:rsidR="005C5724">
        <w:t>.</w:t>
      </w:r>
      <w:r w:rsidR="005C5724" w:rsidRPr="004F10A2">
        <w:rPr>
          <w:b/>
        </w:rPr>
        <w:t xml:space="preserve"> </w:t>
      </w:r>
    </w:p>
    <w:p w14:paraId="32646760" w14:textId="77777777" w:rsidR="008400EF" w:rsidRPr="00C01835" w:rsidRDefault="008400EF" w:rsidP="00C01835">
      <w:pPr>
        <w:tabs>
          <w:tab w:val="left" w:pos="2204"/>
        </w:tabs>
        <w:spacing w:after="0" w:line="240" w:lineRule="auto"/>
      </w:pP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08732D8E" w14:textId="77777777" w:rsidTr="00C01835">
        <w:tc>
          <w:tcPr>
            <w:tcW w:w="9355" w:type="dxa"/>
            <w:shd w:val="clear" w:color="auto" w:fill="E2EFD9" w:themeFill="accent6" w:themeFillTint="33"/>
          </w:tcPr>
          <w:p w14:paraId="50DEA52A" w14:textId="19796276" w:rsidR="00845327" w:rsidRPr="00C01835" w:rsidRDefault="008400EF" w:rsidP="00C01835">
            <w:pPr>
              <w:pStyle w:val="ESSpara"/>
              <w:spacing w:after="0"/>
              <w:ind w:left="-19" w:firstLine="0"/>
              <w:rPr>
                <w:i/>
                <w:sz w:val="20"/>
                <w:szCs w:val="20"/>
              </w:rPr>
            </w:pPr>
            <w:r w:rsidRPr="00C01835">
              <w:rPr>
                <w:rFonts w:ascii="Calibri" w:eastAsia="Times New Roman" w:hAnsi="Calibri" w:cs="Calibri"/>
                <w:i/>
                <w:color w:val="000000"/>
                <w:sz w:val="20"/>
                <w:szCs w:val="20"/>
              </w:rPr>
              <w:t>The FI’s ESMS will include the following elements: (i) environmental and social policy; (ii) clearly defined procedures for the identification, assessment and management of the environmental and social risks and impacts of subprojects; (iii) organizational capacity and competency; (iv) monitoring and review of environmental and social risks of subprojects and the portfolio; and (v) external communications mechanism.</w:t>
            </w:r>
          </w:p>
        </w:tc>
      </w:tr>
    </w:tbl>
    <w:p w14:paraId="3D3FD348" w14:textId="6BCF379B" w:rsidR="008400EF" w:rsidRPr="00C01835" w:rsidRDefault="00C10B9B" w:rsidP="00C01835">
      <w:pPr>
        <w:tabs>
          <w:tab w:val="left" w:pos="2204"/>
        </w:tabs>
        <w:spacing w:after="0" w:line="240" w:lineRule="auto"/>
      </w:pPr>
      <w:r w:rsidRPr="00C01835">
        <w:rPr>
          <w:rFonts w:cstheme="minorHAnsi"/>
        </w:rPr>
        <w:t xml:space="preserve"> </w:t>
      </w: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1674BA9B" w14:textId="77777777" w:rsidTr="00C01835">
        <w:tc>
          <w:tcPr>
            <w:tcW w:w="9355" w:type="dxa"/>
            <w:shd w:val="clear" w:color="auto" w:fill="E2EFD9" w:themeFill="accent6" w:themeFillTint="33"/>
          </w:tcPr>
          <w:p w14:paraId="5499418E" w14:textId="60C30449" w:rsidR="00845327" w:rsidRPr="00C01835" w:rsidRDefault="008400EF" w:rsidP="00C01835">
            <w:pPr>
              <w:pStyle w:val="ESSpara"/>
              <w:spacing w:after="0"/>
              <w:ind w:left="-19" w:firstLine="0"/>
              <w:rPr>
                <w:i/>
                <w:sz w:val="20"/>
                <w:szCs w:val="20"/>
              </w:rPr>
            </w:pPr>
            <w:r w:rsidRPr="00C01835">
              <w:rPr>
                <w:i/>
                <w:sz w:val="20"/>
                <w:szCs w:val="20"/>
              </w:rPr>
              <w:t>Where FI subprojects are likely to have minimal or no adverse environmental or social risks or impacts, the FI will apply national law.</w:t>
            </w:r>
            <w:r w:rsidRPr="00C01835">
              <w:rPr>
                <w:i/>
                <w:sz w:val="20"/>
                <w:szCs w:val="20"/>
                <w:vertAlign w:val="superscript"/>
              </w:rPr>
              <w:t>6</w:t>
            </w:r>
          </w:p>
        </w:tc>
      </w:tr>
      <w:tr w:rsidR="008400EF" w:rsidRPr="00C01835" w14:paraId="64607108" w14:textId="77777777" w:rsidTr="00C01835">
        <w:tc>
          <w:tcPr>
            <w:tcW w:w="9355" w:type="dxa"/>
            <w:shd w:val="clear" w:color="auto" w:fill="E2EFD9" w:themeFill="accent6" w:themeFillTint="33"/>
          </w:tcPr>
          <w:p w14:paraId="172793DE" w14:textId="0B34990E" w:rsidR="00845327" w:rsidRPr="00C01835" w:rsidRDefault="009763F1" w:rsidP="00C01835">
            <w:pPr>
              <w:pStyle w:val="ESSpara"/>
              <w:numPr>
                <w:ilvl w:val="0"/>
                <w:numId w:val="0"/>
              </w:numPr>
              <w:spacing w:after="0"/>
              <w:ind w:left="-19"/>
              <w:rPr>
                <w:i/>
                <w:sz w:val="20"/>
                <w:szCs w:val="20"/>
              </w:rPr>
            </w:pPr>
            <w:r w:rsidRPr="00C01835">
              <w:rPr>
                <w:bCs/>
                <w:i/>
                <w:iCs/>
                <w:sz w:val="20"/>
                <w:szCs w:val="20"/>
              </w:rPr>
              <w:t>Footnote</w:t>
            </w:r>
            <w:r w:rsidRPr="00C01835">
              <w:rPr>
                <w:i/>
                <w:sz w:val="20"/>
                <w:szCs w:val="20"/>
              </w:rPr>
              <w:t xml:space="preserve"> </w:t>
            </w:r>
            <w:r w:rsidR="008400EF" w:rsidRPr="00C01835">
              <w:rPr>
                <w:i/>
                <w:sz w:val="20"/>
                <w:szCs w:val="20"/>
              </w:rPr>
              <w:t>6.</w:t>
            </w:r>
            <w:r w:rsidR="008400EF" w:rsidRPr="00C01835">
              <w:rPr>
                <w:rFonts w:eastAsiaTheme="minorHAnsi"/>
                <w:sz w:val="20"/>
                <w:szCs w:val="20"/>
                <w:lang w:eastAsia="en-US"/>
              </w:rPr>
              <w:t xml:space="preserve"> </w:t>
            </w:r>
            <w:r w:rsidR="008400EF" w:rsidRPr="00C01835">
              <w:rPr>
                <w:i/>
                <w:sz w:val="20"/>
                <w:szCs w:val="20"/>
              </w:rPr>
              <w:t>This will rely on an assessment of the risks of the potential FI subprojects that the FI is proposing to finance, and the capacity of the FI. This may apply to certain retail financial products, such as consumer loans or credit cards.</w:t>
            </w:r>
            <w:r w:rsidR="00C10B9B" w:rsidRPr="00C01835">
              <w:rPr>
                <w:i/>
                <w:sz w:val="20"/>
                <w:szCs w:val="20"/>
              </w:rPr>
              <w:t xml:space="preserve"> </w:t>
            </w:r>
          </w:p>
        </w:tc>
      </w:tr>
    </w:tbl>
    <w:p w14:paraId="11FEF7B0" w14:textId="77777777" w:rsidR="008400EF" w:rsidRPr="00C01835" w:rsidRDefault="008400EF" w:rsidP="00C01835">
      <w:pPr>
        <w:tabs>
          <w:tab w:val="left" w:pos="2204"/>
        </w:tabs>
        <w:spacing w:after="0" w:line="240" w:lineRule="auto"/>
        <w:rPr>
          <w:color w:val="000000" w:themeColor="text1"/>
        </w:rPr>
      </w:pP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6FA7FC44" w14:textId="77777777" w:rsidTr="00C01835">
        <w:tc>
          <w:tcPr>
            <w:tcW w:w="9355" w:type="dxa"/>
            <w:shd w:val="clear" w:color="auto" w:fill="E2EFD9" w:themeFill="accent6" w:themeFillTint="33"/>
          </w:tcPr>
          <w:p w14:paraId="7D70E902" w14:textId="2DCACF32" w:rsidR="00845327" w:rsidRPr="00E64669" w:rsidRDefault="008400EF" w:rsidP="00E64669">
            <w:pPr>
              <w:pStyle w:val="ESSpara"/>
              <w:spacing w:after="0"/>
              <w:ind w:left="-29" w:firstLine="0"/>
              <w:rPr>
                <w:i/>
                <w:sz w:val="20"/>
                <w:szCs w:val="20"/>
              </w:rPr>
            </w:pPr>
            <w:r w:rsidRPr="00E64669">
              <w:rPr>
                <w:i/>
                <w:sz w:val="20"/>
                <w:szCs w:val="20"/>
              </w:rPr>
              <w:t>The FI will review and adjust, in a manner acceptable to the Bank, its ESMS from time to time, including when the environmental and social risk profile of its portfolio changes significantly.</w:t>
            </w:r>
          </w:p>
        </w:tc>
      </w:tr>
    </w:tbl>
    <w:p w14:paraId="1A85B75D" w14:textId="77777777" w:rsidR="008400EF" w:rsidRPr="00C01835" w:rsidRDefault="008400EF" w:rsidP="00C01835">
      <w:pPr>
        <w:spacing w:after="0" w:line="240" w:lineRule="auto"/>
      </w:pPr>
    </w:p>
    <w:p w14:paraId="16D82B9A" w14:textId="006E7798" w:rsidR="008400EF" w:rsidRPr="00C01835" w:rsidRDefault="008400EF" w:rsidP="00C01835">
      <w:pPr>
        <w:tabs>
          <w:tab w:val="left" w:pos="3600"/>
        </w:tabs>
        <w:spacing w:after="0" w:line="240" w:lineRule="auto"/>
      </w:pPr>
      <w:r w:rsidRPr="00C01835">
        <w:rPr>
          <w:b/>
        </w:rPr>
        <w:t>GN10.</w:t>
      </w:r>
      <w:r w:rsidR="0096500A" w:rsidRPr="00C01835">
        <w:rPr>
          <w:b/>
        </w:rPr>
        <w:t>1</w:t>
      </w:r>
      <w:r w:rsidRPr="00C01835">
        <w:rPr>
          <w:b/>
        </w:rPr>
        <w:t>.</w:t>
      </w:r>
      <w:r w:rsidRPr="00C01835">
        <w:t xml:space="preserve"> </w:t>
      </w:r>
      <w:r w:rsidR="003F21A8">
        <w:t>T</w:t>
      </w:r>
      <w:r w:rsidRPr="00C01835">
        <w:t>he ESMS is updated or supplemented</w:t>
      </w:r>
      <w:r w:rsidR="00DE5B74">
        <w:t xml:space="preserve"> by the responsible FI</w:t>
      </w:r>
      <w:r w:rsidRPr="00C01835">
        <w:t xml:space="preserve"> if the </w:t>
      </w:r>
      <w:r w:rsidR="00363BB1" w:rsidRPr="00C01835">
        <w:t xml:space="preserve">environment and social </w:t>
      </w:r>
      <w:r w:rsidRPr="00C01835">
        <w:t>risk profile of the FI</w:t>
      </w:r>
      <w:r w:rsidR="00F466E8" w:rsidRPr="00C01835">
        <w:t>’s</w:t>
      </w:r>
      <w:r w:rsidRPr="00C01835">
        <w:t xml:space="preserve"> </w:t>
      </w:r>
      <w:r w:rsidR="00CC2DBC">
        <w:t xml:space="preserve">general purpose or subproject </w:t>
      </w:r>
      <w:r w:rsidRPr="00C01835">
        <w:t>portfolio changes</w:t>
      </w:r>
      <w:r w:rsidR="0055064F" w:rsidRPr="0055064F">
        <w:t xml:space="preserve"> </w:t>
      </w:r>
      <w:r w:rsidR="0055064F" w:rsidRPr="00C01835">
        <w:t>significantly</w:t>
      </w:r>
      <w:r w:rsidRPr="00C01835">
        <w:t xml:space="preserve">. Changes to the ESMS </w:t>
      </w:r>
      <w:r w:rsidR="00363BB1" w:rsidRPr="00C01835">
        <w:t xml:space="preserve">may </w:t>
      </w:r>
      <w:r w:rsidRPr="00C01835">
        <w:t xml:space="preserve">include updating procedures, conducting staff training on specific issues or adding additional staff with relevant skills. </w:t>
      </w:r>
      <w:r w:rsidR="004F265A">
        <w:t>A</w:t>
      </w:r>
      <w:r w:rsidRPr="00C01835">
        <w:t xml:space="preserve">ny significant changes </w:t>
      </w:r>
      <w:r w:rsidR="004F265A">
        <w:t xml:space="preserve">proposed </w:t>
      </w:r>
      <w:r w:rsidRPr="00C01835">
        <w:t xml:space="preserve">to the ESMS </w:t>
      </w:r>
      <w:r w:rsidR="004F265A">
        <w:t xml:space="preserve">are agreed with the Bank </w:t>
      </w:r>
      <w:r w:rsidRPr="00C01835">
        <w:t xml:space="preserve">prior to </w:t>
      </w:r>
      <w:r w:rsidR="004F265A">
        <w:t xml:space="preserve">their </w:t>
      </w:r>
      <w:r w:rsidRPr="00C01835">
        <w:t>adopt</w:t>
      </w:r>
      <w:r w:rsidR="004F265A">
        <w:t>ion.</w:t>
      </w:r>
      <w:r w:rsidRPr="00C01835">
        <w:t xml:space="preserve"> </w:t>
      </w:r>
      <w:r w:rsidR="004F265A">
        <w:t>A</w:t>
      </w:r>
      <w:r w:rsidRPr="00C01835">
        <w:t xml:space="preserve"> summary of changes to the ESMS </w:t>
      </w:r>
      <w:r w:rsidR="004F265A">
        <w:t xml:space="preserve">can be included </w:t>
      </w:r>
      <w:r w:rsidRPr="00C01835">
        <w:t xml:space="preserve">in the </w:t>
      </w:r>
      <w:r w:rsidR="004F265A">
        <w:t xml:space="preserve">reports </w:t>
      </w:r>
      <w:r w:rsidR="00971A45" w:rsidRPr="00C01835">
        <w:t xml:space="preserve">submitted </w:t>
      </w:r>
      <w:r w:rsidRPr="00C01835">
        <w:t>to the Bank</w:t>
      </w:r>
      <w:r w:rsidR="007C49E7">
        <w:t>,</w:t>
      </w:r>
      <w:r w:rsidR="00971A45" w:rsidRPr="00C01835">
        <w:t xml:space="preserve"> in accordance with </w:t>
      </w:r>
      <w:r w:rsidR="004F265A">
        <w:t>P</w:t>
      </w:r>
      <w:r w:rsidR="00971A45" w:rsidRPr="00C01835">
        <w:t xml:space="preserve">aragraph 23 of </w:t>
      </w:r>
      <w:r w:rsidR="00ED39AA">
        <w:t>ESS9</w:t>
      </w:r>
      <w:r w:rsidRPr="00C01835">
        <w:t>.</w:t>
      </w:r>
    </w:p>
    <w:p w14:paraId="7E0D6AFD" w14:textId="77777777" w:rsidR="008400EF" w:rsidRPr="00C01835" w:rsidRDefault="008400EF" w:rsidP="00C01835">
      <w:pPr>
        <w:spacing w:after="0" w:line="240" w:lineRule="auto"/>
      </w:pPr>
    </w:p>
    <w:tbl>
      <w:tblPr>
        <w:tblStyle w:val="TableGrid0"/>
        <w:tblW w:w="9355" w:type="dxa"/>
        <w:tblLayout w:type="fixed"/>
        <w:tblLook w:val="04A0" w:firstRow="1" w:lastRow="0" w:firstColumn="1" w:lastColumn="0" w:noHBand="0" w:noVBand="1"/>
      </w:tblPr>
      <w:tblGrid>
        <w:gridCol w:w="9355"/>
      </w:tblGrid>
      <w:tr w:rsidR="008400EF" w:rsidRPr="00C01835" w14:paraId="0052EF15" w14:textId="77777777" w:rsidTr="00C01835">
        <w:tc>
          <w:tcPr>
            <w:tcW w:w="9355" w:type="dxa"/>
            <w:shd w:val="clear" w:color="auto" w:fill="E2EFD9" w:themeFill="accent6" w:themeFillTint="33"/>
          </w:tcPr>
          <w:p w14:paraId="63CE6704" w14:textId="75B85334" w:rsidR="00845327" w:rsidRPr="00C01835" w:rsidRDefault="008400EF" w:rsidP="00C01835">
            <w:pPr>
              <w:pStyle w:val="ESSpara"/>
              <w:spacing w:after="0"/>
              <w:ind w:left="-19" w:firstLine="0"/>
              <w:rPr>
                <w:i/>
                <w:sz w:val="20"/>
                <w:szCs w:val="20"/>
              </w:rPr>
            </w:pPr>
            <w:r w:rsidRPr="00C01835">
              <w:rPr>
                <w:i/>
                <w:sz w:val="20"/>
                <w:szCs w:val="20"/>
              </w:rPr>
              <w:t>The FI will comply with any exclusions in the legal agreement and apply relevant national law for all FI subprojects. In addition, the FI will apply the relevant requirements of the ESSs to any FI subproject that involves resettlement (unless the risks or impacts of such resettlement are minor), adverse risks or impacts on Indigenous Peoples or significant risks or impacts on the environment, community health and safety, labor and working conditions, biodiversity or cultural heritage.</w:t>
            </w:r>
          </w:p>
        </w:tc>
      </w:tr>
    </w:tbl>
    <w:p w14:paraId="08AA97F4" w14:textId="77777777" w:rsidR="008400EF" w:rsidRPr="00C01835" w:rsidRDefault="008400EF" w:rsidP="00C01835">
      <w:pPr>
        <w:tabs>
          <w:tab w:val="left" w:pos="2204"/>
        </w:tabs>
        <w:spacing w:after="0" w:line="240" w:lineRule="auto"/>
        <w:rPr>
          <w:color w:val="000000" w:themeColor="text1"/>
        </w:rPr>
      </w:pPr>
    </w:p>
    <w:tbl>
      <w:tblPr>
        <w:tblStyle w:val="TableGrid0"/>
        <w:tblW w:w="9355" w:type="dxa"/>
        <w:tblLayout w:type="fixed"/>
        <w:tblLook w:val="04A0" w:firstRow="1" w:lastRow="0" w:firstColumn="1" w:lastColumn="0" w:noHBand="0" w:noVBand="1"/>
      </w:tblPr>
      <w:tblGrid>
        <w:gridCol w:w="9355"/>
      </w:tblGrid>
      <w:tr w:rsidR="008400EF" w:rsidRPr="00C01835" w14:paraId="340D66DD" w14:textId="77777777" w:rsidTr="00C01835">
        <w:tc>
          <w:tcPr>
            <w:tcW w:w="9355" w:type="dxa"/>
            <w:shd w:val="clear" w:color="auto" w:fill="E2EFD9" w:themeFill="accent6" w:themeFillTint="33"/>
          </w:tcPr>
          <w:p w14:paraId="13941C46" w14:textId="480D2246" w:rsidR="00845327" w:rsidRPr="00C01835" w:rsidRDefault="008400EF" w:rsidP="00C01835">
            <w:pPr>
              <w:pStyle w:val="ESSpara"/>
              <w:spacing w:after="0"/>
              <w:ind w:left="-19" w:firstLine="0"/>
              <w:rPr>
                <w:i/>
                <w:sz w:val="20"/>
                <w:szCs w:val="20"/>
              </w:rPr>
            </w:pPr>
            <w:r w:rsidRPr="00C01835">
              <w:rPr>
                <w:i/>
                <w:sz w:val="20"/>
                <w:szCs w:val="20"/>
              </w:rPr>
              <w:t>An FI may be required to adopt and implement additional or alternative environmental and social requirements, depending on the nature of the FI, its activities, the sector or countries of operation, and the environmental and social risks and impacts of the potential FI subprojects</w:t>
            </w:r>
            <w:r w:rsidR="004A2714">
              <w:rPr>
                <w:i/>
                <w:sz w:val="20"/>
                <w:szCs w:val="20"/>
              </w:rPr>
              <w:t>.</w:t>
            </w:r>
            <w:r w:rsidRPr="00C01835">
              <w:rPr>
                <w:i/>
                <w:sz w:val="20"/>
                <w:szCs w:val="20"/>
                <w:vertAlign w:val="superscript"/>
              </w:rPr>
              <w:t>7</w:t>
            </w:r>
          </w:p>
        </w:tc>
      </w:tr>
      <w:tr w:rsidR="008400EF" w:rsidRPr="00C01835" w14:paraId="27CE593D" w14:textId="77777777" w:rsidTr="00C01835">
        <w:tc>
          <w:tcPr>
            <w:tcW w:w="9355" w:type="dxa"/>
            <w:shd w:val="clear" w:color="auto" w:fill="E2EFD9" w:themeFill="accent6" w:themeFillTint="33"/>
          </w:tcPr>
          <w:p w14:paraId="012FF4C8" w14:textId="5B6699FD" w:rsidR="00845327" w:rsidRPr="00C01835" w:rsidRDefault="009763F1" w:rsidP="00C01835">
            <w:pPr>
              <w:pStyle w:val="ESSpara"/>
              <w:numPr>
                <w:ilvl w:val="0"/>
                <w:numId w:val="0"/>
              </w:numPr>
              <w:spacing w:after="0"/>
              <w:ind w:left="-19"/>
              <w:rPr>
                <w:i/>
                <w:sz w:val="20"/>
                <w:szCs w:val="20"/>
              </w:rPr>
            </w:pPr>
            <w:r w:rsidRPr="00C01835">
              <w:rPr>
                <w:bCs/>
                <w:i/>
                <w:iCs/>
                <w:sz w:val="20"/>
                <w:szCs w:val="20"/>
              </w:rPr>
              <w:t>Footnote</w:t>
            </w:r>
            <w:r w:rsidRPr="00C01835">
              <w:rPr>
                <w:i/>
                <w:sz w:val="20"/>
                <w:szCs w:val="20"/>
              </w:rPr>
              <w:t xml:space="preserve"> </w:t>
            </w:r>
            <w:r w:rsidR="008400EF" w:rsidRPr="00C01835">
              <w:rPr>
                <w:i/>
                <w:sz w:val="20"/>
                <w:szCs w:val="20"/>
              </w:rPr>
              <w:t>7</w:t>
            </w:r>
            <w:r w:rsidRPr="00C01835">
              <w:rPr>
                <w:i/>
                <w:sz w:val="20"/>
                <w:szCs w:val="20"/>
              </w:rPr>
              <w:t xml:space="preserve">. </w:t>
            </w:r>
            <w:r w:rsidR="008400EF" w:rsidRPr="00C01835">
              <w:rPr>
                <w:i/>
                <w:sz w:val="20"/>
                <w:szCs w:val="20"/>
              </w:rPr>
              <w:t>These will be incorporated into the ESMS, the environmental and social procedures and/or set out in the legal agreement.</w:t>
            </w:r>
          </w:p>
        </w:tc>
      </w:tr>
    </w:tbl>
    <w:p w14:paraId="31C3DECA" w14:textId="77777777" w:rsidR="008400EF" w:rsidRPr="00C01835" w:rsidRDefault="008400EF" w:rsidP="00C01835">
      <w:pPr>
        <w:spacing w:after="0" w:line="240" w:lineRule="auto"/>
      </w:pPr>
    </w:p>
    <w:p w14:paraId="50303A78" w14:textId="0E3D6805" w:rsidR="00971A45" w:rsidRPr="00C01835" w:rsidRDefault="008400EF" w:rsidP="00C01835">
      <w:pPr>
        <w:spacing w:after="0" w:line="240" w:lineRule="auto"/>
      </w:pPr>
      <w:r w:rsidRPr="00C01835">
        <w:rPr>
          <w:b/>
        </w:rPr>
        <w:t>GN11.</w:t>
      </w:r>
      <w:r w:rsidR="0096500A" w:rsidRPr="00C01835">
        <w:rPr>
          <w:b/>
        </w:rPr>
        <w:t>1</w:t>
      </w:r>
      <w:r w:rsidRPr="00C01835">
        <w:rPr>
          <w:b/>
        </w:rPr>
        <w:t>.</w:t>
      </w:r>
      <w:r w:rsidRPr="00C01835">
        <w:t xml:space="preserve"> </w:t>
      </w:r>
      <w:r w:rsidR="008321F2">
        <w:t xml:space="preserve">Paragraph 11 applies to the Responsible FI, and the requirements of Paragraph 11 are incorporated in the ESMS. </w:t>
      </w:r>
      <w:r w:rsidR="00971A45" w:rsidRPr="00C01835">
        <w:t xml:space="preserve">Examples of exclusions include </w:t>
      </w:r>
      <w:r w:rsidR="00733C7B">
        <w:t xml:space="preserve">the </w:t>
      </w:r>
      <w:r w:rsidR="00971A45" w:rsidRPr="00C01835">
        <w:t>ineligibility of subpr</w:t>
      </w:r>
      <w:r w:rsidR="00AA652B" w:rsidRPr="00F73059">
        <w:rPr>
          <w:i/>
          <w:iCs/>
          <w:noProof/>
          <w:sz w:val="24"/>
          <w:szCs w:val="24"/>
          <w:lang w:eastAsia="en-US"/>
        </w:rPr>
        <mc:AlternateContent>
          <mc:Choice Requires="wps">
            <w:drawing>
              <wp:anchor distT="45720" distB="45720" distL="114300" distR="114300" simplePos="0" relativeHeight="251692032" behindDoc="0" locked="0" layoutInCell="1" allowOverlap="1" wp14:anchorId="64CC463B" wp14:editId="3495E5A0">
                <wp:simplePos x="0" y="0"/>
                <wp:positionH relativeFrom="page">
                  <wp:posOffset>7150735</wp:posOffset>
                </wp:positionH>
                <wp:positionV relativeFrom="page">
                  <wp:posOffset>8229600</wp:posOffset>
                </wp:positionV>
                <wp:extent cx="914400" cy="301752"/>
                <wp:effectExtent l="1587" t="0" r="1588" b="1587"/>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3E4A1809" w14:textId="77777777" w:rsidR="00AA652B" w:rsidRPr="00F73059" w:rsidRDefault="00AA652B" w:rsidP="00AA652B">
                            <w:pPr>
                              <w:jc w:val="center"/>
                              <w:rPr>
                                <w:b/>
                                <w:color w:val="FFFFFF" w:themeColor="background1"/>
                                <w:sz w:val="28"/>
                                <w:szCs w:val="28"/>
                              </w:rPr>
                            </w:pPr>
                            <w:r>
                              <w:rPr>
                                <w:b/>
                                <w:color w:val="FFFFFF" w:themeColor="background1"/>
                                <w:sz w:val="28"/>
                                <w:szCs w:val="28"/>
                              </w:rPr>
                              <w:t>ESS9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C463B" id="Text Box 5" o:spid="_x0000_s1031" type="#_x0000_t202" style="position:absolute;left:0;text-align:left;margin-left:563.05pt;margin-top:9in;width:1in;height:23.75pt;rotation:-90;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" fillcolor="#70ad47 [3209]" stroked="f">
                <v:textbox>
                  <w:txbxContent>
                    <w:p w14:paraId="3E4A1809" w14:textId="77777777" w:rsidR="00AA652B" w:rsidRPr="00F73059" w:rsidRDefault="00AA652B" w:rsidP="00AA652B">
                      <w:pPr>
                        <w:jc w:val="center"/>
                        <w:rPr>
                          <w:b/>
                          <w:color w:val="FFFFFF" w:themeColor="background1"/>
                          <w:sz w:val="28"/>
                          <w:szCs w:val="28"/>
                        </w:rPr>
                      </w:pPr>
                      <w:r>
                        <w:rPr>
                          <w:b/>
                          <w:color w:val="FFFFFF" w:themeColor="background1"/>
                          <w:sz w:val="28"/>
                          <w:szCs w:val="28"/>
                        </w:rPr>
                        <w:t>ESS9</w:t>
                      </w:r>
                    </w:p>
                  </w:txbxContent>
                </v:textbox>
                <w10:wrap anchorx="page" anchory="page"/>
              </v:shape>
            </w:pict>
          </mc:Fallback>
        </mc:AlternateContent>
      </w:r>
      <w:r w:rsidR="00971A45" w:rsidRPr="00C01835">
        <w:t xml:space="preserve">ojects </w:t>
      </w:r>
      <w:r w:rsidR="0069119A" w:rsidRPr="00C01835">
        <w:t>or general purpose activities that are high risk or have significant adverse environment</w:t>
      </w:r>
      <w:r w:rsidR="004842C5" w:rsidRPr="00C01835">
        <w:t>al</w:t>
      </w:r>
      <w:r w:rsidR="0069119A" w:rsidRPr="00C01835">
        <w:t xml:space="preserve"> or social impacts</w:t>
      </w:r>
      <w:r w:rsidR="004842C5" w:rsidRPr="00C01835">
        <w:t>,</w:t>
      </w:r>
      <w:r w:rsidR="0069119A" w:rsidRPr="00C01835">
        <w:t xml:space="preserve"> </w:t>
      </w:r>
      <w:r w:rsidR="00733C7B">
        <w:t xml:space="preserve">or </w:t>
      </w:r>
      <w:r w:rsidR="0069119A" w:rsidRPr="00C01835">
        <w:lastRenderedPageBreak/>
        <w:t xml:space="preserve">ineligibility of business activities that involve land expropriation, involuntary </w:t>
      </w:r>
      <w:r w:rsidR="004842C5" w:rsidRPr="00C01835">
        <w:t xml:space="preserve">resettlement </w:t>
      </w:r>
      <w:r w:rsidR="0069119A" w:rsidRPr="00C01835">
        <w:t>or loss or damage to assets.</w:t>
      </w:r>
    </w:p>
    <w:p w14:paraId="2BD01E02" w14:textId="77777777" w:rsidR="008400EF" w:rsidRPr="00C01835" w:rsidRDefault="008400EF" w:rsidP="00C01835">
      <w:pPr>
        <w:spacing w:after="0" w:line="240" w:lineRule="auto"/>
      </w:pPr>
    </w:p>
    <w:p w14:paraId="6A1BF4BC" w14:textId="1CEE9F4E" w:rsidR="008400EF" w:rsidRPr="00C01835" w:rsidRDefault="0096500A" w:rsidP="00C01835">
      <w:pPr>
        <w:spacing w:after="0" w:line="240" w:lineRule="auto"/>
      </w:pPr>
      <w:r w:rsidRPr="00C01835">
        <w:rPr>
          <w:b/>
        </w:rPr>
        <w:t>GN11.2.</w:t>
      </w:r>
      <w:r w:rsidRPr="00C01835">
        <w:t xml:space="preserve"> </w:t>
      </w:r>
      <w:r w:rsidR="00F558D7" w:rsidRPr="00C01835">
        <w:t>Where Bank support is provided f</w:t>
      </w:r>
      <w:r w:rsidR="008400EF" w:rsidRPr="00C01835">
        <w:t xml:space="preserve">or </w:t>
      </w:r>
      <w:r w:rsidR="00F558D7" w:rsidRPr="00C01835">
        <w:t xml:space="preserve">a </w:t>
      </w:r>
      <w:r w:rsidR="008400EF" w:rsidRPr="00C01835">
        <w:t xml:space="preserve">general purpose, </w:t>
      </w:r>
      <w:r w:rsidR="00F558D7" w:rsidRPr="00C01835">
        <w:t xml:space="preserve">as set out in </w:t>
      </w:r>
      <w:r w:rsidR="00733C7B">
        <w:t>P</w:t>
      </w:r>
      <w:r w:rsidR="00F558D7" w:rsidRPr="00C01835">
        <w:t xml:space="preserve">aragraph 5(b) of </w:t>
      </w:r>
      <w:r w:rsidR="00ED39AA">
        <w:t>ESS9</w:t>
      </w:r>
      <w:r w:rsidR="00F558D7" w:rsidRPr="00C01835">
        <w:t xml:space="preserve">, </w:t>
      </w:r>
      <w:r w:rsidR="008400EF" w:rsidRPr="00C01835">
        <w:t xml:space="preserve">the exclusions in the legal agreement apply </w:t>
      </w:r>
      <w:r w:rsidR="00D46AD1" w:rsidRPr="00C01835">
        <w:t>to</w:t>
      </w:r>
      <w:r w:rsidR="008400EF" w:rsidRPr="00C01835">
        <w:t xml:space="preserve"> the entire portfolio</w:t>
      </w:r>
      <w:r w:rsidR="00D63F97" w:rsidRPr="00C01835">
        <w:t xml:space="preserve"> of </w:t>
      </w:r>
      <w:r w:rsidR="00F558D7" w:rsidRPr="00C01835">
        <w:t>the</w:t>
      </w:r>
      <w:r w:rsidR="00D63F97" w:rsidRPr="00C01835">
        <w:t xml:space="preserve"> FI</w:t>
      </w:r>
      <w:r w:rsidR="008400EF" w:rsidRPr="00C01835">
        <w:t xml:space="preserve">. Where the </w:t>
      </w:r>
      <w:r w:rsidR="003C5353">
        <w:t xml:space="preserve">World </w:t>
      </w:r>
      <w:r w:rsidR="00733C7B">
        <w:t xml:space="preserve">Bank </w:t>
      </w:r>
      <w:r w:rsidR="008400EF" w:rsidRPr="00C01835">
        <w:t>support</w:t>
      </w:r>
      <w:r w:rsidR="00733C7B">
        <w:t xml:space="preserve"> is for</w:t>
      </w:r>
      <w:r w:rsidR="008400EF" w:rsidRPr="00C01835">
        <w:t xml:space="preserve"> clearly defined subprojects, </w:t>
      </w:r>
      <w:r w:rsidR="00F03D6E" w:rsidRPr="00C01835">
        <w:t xml:space="preserve">the </w:t>
      </w:r>
      <w:r w:rsidR="008400EF" w:rsidRPr="00C01835">
        <w:t xml:space="preserve">exclusions apply only to those subprojects. </w:t>
      </w:r>
    </w:p>
    <w:p w14:paraId="2AD844A3" w14:textId="671BC555" w:rsidR="00584D1F" w:rsidRDefault="00584D1F" w:rsidP="00C01835">
      <w:pPr>
        <w:spacing w:after="0" w:line="240" w:lineRule="auto"/>
        <w:rPr>
          <w:color w:val="000000" w:themeColor="text1"/>
        </w:rPr>
      </w:pPr>
    </w:p>
    <w:p w14:paraId="0BA9197A" w14:textId="2C3A3504" w:rsidR="00584D1F" w:rsidRPr="00C01835" w:rsidRDefault="0064569A" w:rsidP="00C01835">
      <w:pPr>
        <w:spacing w:after="0" w:line="240" w:lineRule="auto"/>
        <w:rPr>
          <w:color w:val="000000" w:themeColor="text1"/>
        </w:rPr>
      </w:pPr>
      <w:r>
        <w:rPr>
          <w:b/>
          <w:color w:val="000000" w:themeColor="text1"/>
        </w:rPr>
        <w:t>GN11.</w:t>
      </w:r>
      <w:r w:rsidR="00F523F1">
        <w:rPr>
          <w:b/>
          <w:color w:val="000000" w:themeColor="text1"/>
        </w:rPr>
        <w:t>3</w:t>
      </w:r>
      <w:r>
        <w:rPr>
          <w:b/>
          <w:color w:val="000000" w:themeColor="text1"/>
        </w:rPr>
        <w:t xml:space="preserve">. </w:t>
      </w:r>
      <w:r>
        <w:t>When the risks and impacts referred to in Paragraph 11 are identified, t</w:t>
      </w:r>
      <w:r w:rsidRPr="00FF659D">
        <w:t xml:space="preserve">he </w:t>
      </w:r>
      <w:r>
        <w:t xml:space="preserve">Responsible </w:t>
      </w:r>
      <w:r w:rsidRPr="00FF659D">
        <w:t xml:space="preserve">FI </w:t>
      </w:r>
      <w:r>
        <w:t>ensures that (i) the ESMS contains procedures to address such risks and impacts, and (ii) the contractual arrangements be</w:t>
      </w:r>
      <w:r w:rsidR="00F523F1">
        <w:t>t</w:t>
      </w:r>
      <w:r>
        <w:t xml:space="preserve">ween the Responsible FI and the FI subprojects provide for </w:t>
      </w:r>
      <w:r w:rsidR="00697B57">
        <w:t xml:space="preserve">application </w:t>
      </w:r>
      <w:r>
        <w:t xml:space="preserve">of such procedures. </w:t>
      </w:r>
    </w:p>
    <w:p w14:paraId="1F14F6FF" w14:textId="77777777" w:rsidR="008400EF" w:rsidRPr="00C01835" w:rsidRDefault="008400EF" w:rsidP="00C01835">
      <w:pPr>
        <w:tabs>
          <w:tab w:val="left" w:pos="2204"/>
        </w:tabs>
        <w:spacing w:after="0" w:line="240" w:lineRule="auto"/>
        <w:rPr>
          <w:color w:val="000000" w:themeColor="text1"/>
        </w:rPr>
      </w:pPr>
    </w:p>
    <w:tbl>
      <w:tblPr>
        <w:tblStyle w:val="TableGrid0"/>
        <w:tblW w:w="9355" w:type="dxa"/>
        <w:tblLayout w:type="fixed"/>
        <w:tblLook w:val="04A0" w:firstRow="1" w:lastRow="0" w:firstColumn="1" w:lastColumn="0" w:noHBand="0" w:noVBand="1"/>
      </w:tblPr>
      <w:tblGrid>
        <w:gridCol w:w="9355"/>
      </w:tblGrid>
      <w:tr w:rsidR="008400EF" w:rsidRPr="00C01835" w14:paraId="7A2526C0" w14:textId="77777777" w:rsidTr="00C01835">
        <w:tc>
          <w:tcPr>
            <w:tcW w:w="9355" w:type="dxa"/>
            <w:shd w:val="clear" w:color="auto" w:fill="E2EFD9" w:themeFill="accent6" w:themeFillTint="33"/>
          </w:tcPr>
          <w:p w14:paraId="0254614B" w14:textId="3222875B" w:rsidR="00845327" w:rsidRPr="00C01835" w:rsidRDefault="008400EF" w:rsidP="00C01835">
            <w:pPr>
              <w:pStyle w:val="ESSpara"/>
              <w:spacing w:after="0"/>
              <w:ind w:left="-19" w:firstLine="0"/>
              <w:rPr>
                <w:i/>
                <w:sz w:val="20"/>
                <w:szCs w:val="20"/>
              </w:rPr>
            </w:pPr>
            <w:r w:rsidRPr="00C01835">
              <w:rPr>
                <w:i/>
                <w:sz w:val="20"/>
                <w:szCs w:val="20"/>
              </w:rPr>
              <w:t>The FI will provide a safe and healthy working environment. Accordingly, relevant aspects of ESS2 will apply to the FI itself. The FI will have in place and maintain appropriate labor management procedures, including procedures relating to working conditions and terms of employment, non-discrimination and equal opportunity, grievance mechanisms and occupational health and safety. The FI will provide adequate documented evidence of such procedures.</w:t>
            </w:r>
          </w:p>
        </w:tc>
      </w:tr>
    </w:tbl>
    <w:p w14:paraId="70D3FDBA" w14:textId="77777777" w:rsidR="008400EF" w:rsidRPr="00C01835" w:rsidRDefault="008400EF" w:rsidP="00C01835">
      <w:pPr>
        <w:tabs>
          <w:tab w:val="left" w:pos="2204"/>
        </w:tabs>
        <w:spacing w:after="0" w:line="240" w:lineRule="auto"/>
      </w:pPr>
    </w:p>
    <w:p w14:paraId="337D644A" w14:textId="55CF88CD" w:rsidR="008400EF" w:rsidRPr="00C01835" w:rsidRDefault="008400EF" w:rsidP="00FF659D">
      <w:pPr>
        <w:tabs>
          <w:tab w:val="left" w:pos="2204"/>
        </w:tabs>
        <w:spacing w:after="0" w:line="240" w:lineRule="auto"/>
      </w:pPr>
      <w:r w:rsidRPr="00C01835">
        <w:rPr>
          <w:b/>
        </w:rPr>
        <w:t>GN13.</w:t>
      </w:r>
      <w:r w:rsidR="0045335A" w:rsidRPr="00C01835">
        <w:rPr>
          <w:b/>
        </w:rPr>
        <w:t>1</w:t>
      </w:r>
      <w:r w:rsidRPr="00C01835">
        <w:rPr>
          <w:b/>
        </w:rPr>
        <w:t>.</w:t>
      </w:r>
      <w:r w:rsidRPr="00C01835">
        <w:t xml:space="preserve"> </w:t>
      </w:r>
      <w:r w:rsidR="006C623F">
        <w:t xml:space="preserve">This requirement applies to the Responsible FI. </w:t>
      </w:r>
    </w:p>
    <w:p w14:paraId="6C7D3F2D" w14:textId="77777777" w:rsidR="008400EF" w:rsidRPr="00C01835" w:rsidRDefault="008400EF" w:rsidP="00C01835">
      <w:pPr>
        <w:pStyle w:val="ListParagraph"/>
        <w:tabs>
          <w:tab w:val="left" w:pos="2204"/>
        </w:tabs>
        <w:spacing w:after="0" w:line="240" w:lineRule="auto"/>
        <w:ind w:left="1080"/>
        <w:contextualSpacing w:val="0"/>
      </w:pPr>
    </w:p>
    <w:tbl>
      <w:tblPr>
        <w:tblStyle w:val="TableGrid0"/>
        <w:tblW w:w="9355" w:type="dxa"/>
        <w:tblLayout w:type="fixed"/>
        <w:tblLook w:val="04A0" w:firstRow="1" w:lastRow="0" w:firstColumn="1" w:lastColumn="0" w:noHBand="0" w:noVBand="1"/>
      </w:tblPr>
      <w:tblGrid>
        <w:gridCol w:w="9355"/>
      </w:tblGrid>
      <w:tr w:rsidR="008400EF" w:rsidRPr="00C01835" w14:paraId="55864EDA" w14:textId="77777777" w:rsidTr="008400EF">
        <w:tc>
          <w:tcPr>
            <w:tcW w:w="9355" w:type="dxa"/>
            <w:shd w:val="clear" w:color="auto" w:fill="E7E6E6" w:themeFill="background2"/>
          </w:tcPr>
          <w:p w14:paraId="506F3663" w14:textId="77777777" w:rsidR="008400EF" w:rsidRPr="00C01835" w:rsidRDefault="008400EF" w:rsidP="00C01835">
            <w:pPr>
              <w:pStyle w:val="Heading1"/>
              <w:numPr>
                <w:ilvl w:val="0"/>
                <w:numId w:val="0"/>
              </w:numPr>
              <w:spacing w:before="0" w:line="240" w:lineRule="auto"/>
              <w:jc w:val="left"/>
              <w:outlineLvl w:val="0"/>
              <w:rPr>
                <w:b w:val="0"/>
                <w:bCs w:val="0"/>
                <w:i/>
                <w:iCs/>
              </w:rPr>
            </w:pPr>
            <w:bookmarkStart w:id="4" w:name="_Toc494045541"/>
            <w:r w:rsidRPr="00C01835">
              <w:rPr>
                <w:i/>
                <w:color w:val="auto"/>
                <w:sz w:val="22"/>
                <w:szCs w:val="22"/>
              </w:rPr>
              <w:t>A. Environmental and Social Management System</w:t>
            </w:r>
            <w:bookmarkEnd w:id="4"/>
          </w:p>
        </w:tc>
      </w:tr>
    </w:tbl>
    <w:p w14:paraId="1C8BE7B3" w14:textId="77777777" w:rsidR="008400EF" w:rsidRPr="00C01835" w:rsidRDefault="008400EF" w:rsidP="00C01835">
      <w:pPr>
        <w:tabs>
          <w:tab w:val="left" w:pos="2204"/>
        </w:tabs>
        <w:spacing w:after="0" w:line="240" w:lineRule="auto"/>
      </w:pPr>
    </w:p>
    <w:tbl>
      <w:tblPr>
        <w:tblStyle w:val="TableGrid0"/>
        <w:tblW w:w="9355" w:type="dxa"/>
        <w:tblLayout w:type="fixed"/>
        <w:tblLook w:val="04A0" w:firstRow="1" w:lastRow="0" w:firstColumn="1" w:lastColumn="0" w:noHBand="0" w:noVBand="1"/>
      </w:tblPr>
      <w:tblGrid>
        <w:gridCol w:w="9355"/>
      </w:tblGrid>
      <w:tr w:rsidR="008400EF" w:rsidRPr="00C01835" w14:paraId="658C1376" w14:textId="77777777" w:rsidTr="008400EF">
        <w:tc>
          <w:tcPr>
            <w:tcW w:w="9355" w:type="dxa"/>
            <w:shd w:val="clear" w:color="auto" w:fill="E7E6E6" w:themeFill="background2"/>
          </w:tcPr>
          <w:p w14:paraId="3E448416" w14:textId="77777777" w:rsidR="008400EF" w:rsidRPr="00C01835" w:rsidRDefault="008400EF" w:rsidP="00C01835">
            <w:pPr>
              <w:pStyle w:val="Heading1"/>
              <w:numPr>
                <w:ilvl w:val="0"/>
                <w:numId w:val="0"/>
              </w:numPr>
              <w:spacing w:before="0" w:line="240" w:lineRule="auto"/>
              <w:jc w:val="left"/>
              <w:outlineLvl w:val="0"/>
              <w:rPr>
                <w:b w:val="0"/>
                <w:bCs w:val="0"/>
                <w:i/>
                <w:iCs/>
              </w:rPr>
            </w:pPr>
            <w:bookmarkStart w:id="5" w:name="_Toc494045542"/>
            <w:r w:rsidRPr="00C01835">
              <w:rPr>
                <w:i/>
                <w:color w:val="auto"/>
                <w:sz w:val="22"/>
                <w:szCs w:val="22"/>
              </w:rPr>
              <w:t>Environmental and Social Policy</w:t>
            </w:r>
            <w:bookmarkEnd w:id="5"/>
          </w:p>
        </w:tc>
      </w:tr>
    </w:tbl>
    <w:p w14:paraId="49D37D0B" w14:textId="77777777" w:rsidR="008400EF" w:rsidRPr="00C01835" w:rsidRDefault="008400EF" w:rsidP="00C01835">
      <w:pPr>
        <w:tabs>
          <w:tab w:val="left" w:pos="2204"/>
        </w:tabs>
        <w:spacing w:after="0" w:line="240" w:lineRule="auto"/>
      </w:pPr>
    </w:p>
    <w:tbl>
      <w:tblPr>
        <w:tblStyle w:val="TableGrid0"/>
        <w:tblW w:w="9355" w:type="dxa"/>
        <w:tblLayout w:type="fixed"/>
        <w:tblLook w:val="04A0" w:firstRow="1" w:lastRow="0" w:firstColumn="1" w:lastColumn="0" w:noHBand="0" w:noVBand="1"/>
      </w:tblPr>
      <w:tblGrid>
        <w:gridCol w:w="9355"/>
      </w:tblGrid>
      <w:tr w:rsidR="008400EF" w:rsidRPr="00C01835" w14:paraId="623F7032" w14:textId="77777777" w:rsidTr="00C01835">
        <w:tc>
          <w:tcPr>
            <w:tcW w:w="9355" w:type="dxa"/>
            <w:shd w:val="clear" w:color="auto" w:fill="E2EFD9" w:themeFill="accent6" w:themeFillTint="33"/>
          </w:tcPr>
          <w:p w14:paraId="2109A5B5" w14:textId="5353A66C" w:rsidR="00845327" w:rsidRPr="00C01835" w:rsidRDefault="008400EF" w:rsidP="007C49E7">
            <w:pPr>
              <w:pStyle w:val="ListParagraph"/>
              <w:numPr>
                <w:ilvl w:val="0"/>
                <w:numId w:val="10"/>
              </w:numPr>
              <w:spacing w:after="0" w:line="240" w:lineRule="auto"/>
              <w:ind w:left="-19" w:right="46" w:firstLine="0"/>
              <w:contextualSpacing w:val="0"/>
              <w:rPr>
                <w:rFonts w:eastAsia="Times New Roman"/>
                <w:i/>
                <w:sz w:val="20"/>
                <w:szCs w:val="20"/>
              </w:rPr>
            </w:pPr>
            <w:r w:rsidRPr="00C01835">
              <w:rPr>
                <w:rFonts w:eastAsia="Times New Roman"/>
                <w:i/>
                <w:sz w:val="20"/>
                <w:szCs w:val="20"/>
              </w:rPr>
              <w:t xml:space="preserve">The environmental and social policy of the FI will be endorsed by the FI’s senior management and will include organizational commitments, objectives, and metrics with regard to the FI’s environmental and social risk management. The policy will clearly state applicable requirements for FI subprojects, and will include the following: </w:t>
            </w:r>
          </w:p>
          <w:p w14:paraId="74508386" w14:textId="77777777" w:rsidR="008400EF" w:rsidRPr="00C01835" w:rsidRDefault="008400EF" w:rsidP="00724C6E">
            <w:pPr>
              <w:numPr>
                <w:ilvl w:val="0"/>
                <w:numId w:val="31"/>
              </w:numPr>
              <w:spacing w:after="0" w:line="240" w:lineRule="auto"/>
              <w:ind w:left="1440" w:right="43" w:hanging="360"/>
              <w:rPr>
                <w:rFonts w:eastAsia="Times New Roman"/>
                <w:i/>
                <w:sz w:val="20"/>
                <w:szCs w:val="20"/>
              </w:rPr>
            </w:pPr>
            <w:r w:rsidRPr="00C01835">
              <w:rPr>
                <w:rFonts w:eastAsia="Times New Roman"/>
                <w:i/>
                <w:sz w:val="20"/>
                <w:szCs w:val="20"/>
              </w:rPr>
              <w:t xml:space="preserve">All FI subprojects will be prepared and implemented in accordance with relevant environmental and social national and local laws and regulations; </w:t>
            </w:r>
          </w:p>
          <w:p w14:paraId="4FD2963A" w14:textId="0764EFC0" w:rsidR="008400EF" w:rsidRPr="00C01835" w:rsidRDefault="008400EF" w:rsidP="00724C6E">
            <w:pPr>
              <w:numPr>
                <w:ilvl w:val="0"/>
                <w:numId w:val="31"/>
              </w:numPr>
              <w:spacing w:after="0" w:line="240" w:lineRule="auto"/>
              <w:ind w:left="1440" w:right="43" w:hanging="360"/>
              <w:rPr>
                <w:rFonts w:eastAsia="Times New Roman"/>
                <w:i/>
                <w:sz w:val="20"/>
                <w:szCs w:val="20"/>
              </w:rPr>
            </w:pPr>
            <w:r w:rsidRPr="00C01835">
              <w:rPr>
                <w:rFonts w:eastAsia="Times New Roman"/>
                <w:i/>
                <w:sz w:val="20"/>
                <w:szCs w:val="20"/>
              </w:rPr>
              <w:t>All FI subprojects will be screened against exclusions in the legal agreement</w:t>
            </w:r>
            <w:r w:rsidR="0039714F">
              <w:rPr>
                <w:rFonts w:eastAsia="Times New Roman"/>
                <w:i/>
                <w:sz w:val="20"/>
                <w:szCs w:val="20"/>
              </w:rPr>
              <w:t>;</w:t>
            </w:r>
            <w:r w:rsidRPr="00C01835">
              <w:rPr>
                <w:rFonts w:eastAsia="Times New Roman"/>
                <w:i/>
                <w:sz w:val="20"/>
                <w:szCs w:val="20"/>
                <w:vertAlign w:val="superscript"/>
              </w:rPr>
              <w:t>8</w:t>
            </w:r>
            <w:r w:rsidRPr="00C01835">
              <w:rPr>
                <w:rFonts w:eastAsia="Times New Roman"/>
                <w:i/>
                <w:sz w:val="20"/>
                <w:szCs w:val="20"/>
              </w:rPr>
              <w:t xml:space="preserve"> </w:t>
            </w:r>
          </w:p>
          <w:p w14:paraId="5CDA144C" w14:textId="77777777" w:rsidR="008400EF" w:rsidRPr="00C01835" w:rsidRDefault="008400EF" w:rsidP="00724C6E">
            <w:pPr>
              <w:numPr>
                <w:ilvl w:val="0"/>
                <w:numId w:val="31"/>
              </w:numPr>
              <w:spacing w:after="0" w:line="240" w:lineRule="auto"/>
              <w:ind w:left="1440" w:right="43" w:hanging="360"/>
              <w:rPr>
                <w:bCs/>
                <w:i/>
                <w:iCs/>
                <w:sz w:val="20"/>
                <w:szCs w:val="20"/>
              </w:rPr>
            </w:pPr>
            <w:r w:rsidRPr="00C01835">
              <w:rPr>
                <w:rFonts w:eastAsia="Times New Roman"/>
                <w:i/>
                <w:sz w:val="20"/>
                <w:szCs w:val="20"/>
              </w:rPr>
              <w:t xml:space="preserve">All FI subprojects will be screened for environmental and social risks and impacts; </w:t>
            </w:r>
          </w:p>
          <w:p w14:paraId="354990A9" w14:textId="464E44A8" w:rsidR="00845327" w:rsidRPr="00C01835" w:rsidRDefault="008400EF" w:rsidP="00724C6E">
            <w:pPr>
              <w:numPr>
                <w:ilvl w:val="0"/>
                <w:numId w:val="31"/>
              </w:numPr>
              <w:spacing w:after="0" w:line="240" w:lineRule="auto"/>
              <w:ind w:left="1440" w:right="43" w:hanging="360"/>
              <w:rPr>
                <w:bCs/>
                <w:i/>
                <w:iCs/>
                <w:sz w:val="20"/>
                <w:szCs w:val="20"/>
              </w:rPr>
            </w:pPr>
            <w:r w:rsidRPr="00C01835">
              <w:rPr>
                <w:rFonts w:eastAsia="Times New Roman"/>
                <w:i/>
                <w:sz w:val="20"/>
                <w:szCs w:val="20"/>
              </w:rPr>
              <w:t>All FI subprojects which involve resettlement (unless the risks or impacts of such resettlement are minor), adverse risks or impacts on Indigenous Peoples or significant risks or impacts on the environment, community health and safety, labor and working conditions, biodiversity or cultural heritage will apply relevant requirements of ESSs.</w:t>
            </w:r>
            <w:r w:rsidRPr="00C01835">
              <w:rPr>
                <w:rFonts w:eastAsia="Times New Roman"/>
                <w:i/>
                <w:sz w:val="20"/>
                <w:szCs w:val="20"/>
                <w:vertAlign w:val="superscript"/>
              </w:rPr>
              <w:t>9</w:t>
            </w:r>
            <w:r w:rsidR="00C10B9B" w:rsidRPr="00C01835">
              <w:rPr>
                <w:rFonts w:eastAsia="Times New Roman"/>
                <w:i/>
                <w:sz w:val="20"/>
                <w:szCs w:val="20"/>
                <w:vertAlign w:val="superscript"/>
              </w:rPr>
              <w:t xml:space="preserve"> </w:t>
            </w:r>
          </w:p>
        </w:tc>
      </w:tr>
      <w:tr w:rsidR="008400EF" w:rsidRPr="00C01835" w14:paraId="010B3403" w14:textId="77777777" w:rsidTr="00C01835">
        <w:tc>
          <w:tcPr>
            <w:tcW w:w="9355" w:type="dxa"/>
            <w:shd w:val="clear" w:color="auto" w:fill="E2EFD9" w:themeFill="accent6" w:themeFillTint="33"/>
          </w:tcPr>
          <w:p w14:paraId="36C00EF9" w14:textId="0BE7E1C0" w:rsidR="00845327" w:rsidRPr="00C01835" w:rsidRDefault="009763F1" w:rsidP="00C01835">
            <w:pPr>
              <w:pStyle w:val="ListParagraph"/>
              <w:spacing w:after="0" w:line="240" w:lineRule="auto"/>
              <w:ind w:left="-19" w:right="46"/>
              <w:contextualSpacing w:val="0"/>
              <w:rPr>
                <w:rFonts w:eastAsia="Times New Roman"/>
                <w:i/>
                <w:sz w:val="20"/>
                <w:szCs w:val="20"/>
              </w:rPr>
            </w:pPr>
            <w:r w:rsidRPr="00C01835">
              <w:rPr>
                <w:bCs/>
                <w:i/>
                <w:iCs/>
                <w:sz w:val="20"/>
                <w:szCs w:val="20"/>
              </w:rPr>
              <w:t>Footnote</w:t>
            </w:r>
            <w:r w:rsidRPr="00C01835">
              <w:rPr>
                <w:rFonts w:eastAsia="Times New Roman"/>
                <w:i/>
                <w:sz w:val="20"/>
                <w:szCs w:val="20"/>
              </w:rPr>
              <w:t xml:space="preserve"> </w:t>
            </w:r>
            <w:r w:rsidR="008400EF" w:rsidRPr="00C01835">
              <w:rPr>
                <w:rFonts w:eastAsia="Times New Roman"/>
                <w:i/>
                <w:sz w:val="20"/>
                <w:szCs w:val="20"/>
              </w:rPr>
              <w:t>8. These will be set out in the legal agreement between the FI and the entity providing financing to the FI, and will reflect the exclusions in the legal agreement pursuant to which the Bank provides its support.</w:t>
            </w:r>
          </w:p>
        </w:tc>
      </w:tr>
      <w:tr w:rsidR="008400EF" w:rsidRPr="00C01835" w14:paraId="45BA4E7A" w14:textId="77777777" w:rsidTr="00C01835">
        <w:tc>
          <w:tcPr>
            <w:tcW w:w="9355" w:type="dxa"/>
            <w:shd w:val="clear" w:color="auto" w:fill="E2EFD9" w:themeFill="accent6" w:themeFillTint="33"/>
          </w:tcPr>
          <w:p w14:paraId="25D70A7E" w14:textId="427FC364" w:rsidR="00845327" w:rsidRPr="00C01835" w:rsidRDefault="009763F1" w:rsidP="00C01835">
            <w:pPr>
              <w:spacing w:after="0" w:line="240" w:lineRule="auto"/>
              <w:ind w:right="46"/>
              <w:rPr>
                <w:rFonts w:eastAsia="Times New Roman"/>
                <w:i/>
                <w:sz w:val="20"/>
                <w:szCs w:val="20"/>
              </w:rPr>
            </w:pPr>
            <w:r w:rsidRPr="00C01835">
              <w:rPr>
                <w:bCs/>
                <w:i/>
                <w:iCs/>
                <w:sz w:val="20"/>
                <w:szCs w:val="20"/>
              </w:rPr>
              <w:t>Footnote</w:t>
            </w:r>
            <w:r w:rsidRPr="00C01835">
              <w:rPr>
                <w:rFonts w:eastAsia="Times New Roman"/>
                <w:i/>
                <w:sz w:val="20"/>
                <w:szCs w:val="20"/>
              </w:rPr>
              <w:t xml:space="preserve"> </w:t>
            </w:r>
            <w:r w:rsidR="008400EF" w:rsidRPr="00C01835">
              <w:rPr>
                <w:rFonts w:eastAsia="Times New Roman"/>
                <w:i/>
                <w:sz w:val="20"/>
                <w:szCs w:val="20"/>
              </w:rPr>
              <w:t xml:space="preserve">9. The relevant requirements of the ESSs will be applied to such projects regardless of how such projects are categorized under the FI’s own risk categorization system as referred to in paragraph 17. </w:t>
            </w:r>
          </w:p>
        </w:tc>
      </w:tr>
    </w:tbl>
    <w:p w14:paraId="7A10F154" w14:textId="77777777" w:rsidR="00724C6E" w:rsidRDefault="00724C6E" w:rsidP="00C01835">
      <w:pPr>
        <w:pStyle w:val="p1"/>
        <w:jc w:val="both"/>
        <w:rPr>
          <w:rFonts w:asciiTheme="minorHAnsi" w:hAnsiTheme="minorHAnsi" w:cstheme="minorHAnsi"/>
          <w:b/>
          <w:color w:val="000000" w:themeColor="text1"/>
          <w:sz w:val="22"/>
          <w:szCs w:val="22"/>
        </w:rPr>
      </w:pPr>
    </w:p>
    <w:p w14:paraId="1391A458" w14:textId="59546329" w:rsidR="008400EF" w:rsidRPr="00C01835" w:rsidRDefault="008400EF" w:rsidP="00C01835">
      <w:pPr>
        <w:pStyle w:val="p1"/>
        <w:jc w:val="both"/>
        <w:rPr>
          <w:rFonts w:asciiTheme="minorHAnsi" w:hAnsiTheme="minorHAnsi" w:cstheme="minorHAnsi"/>
          <w:color w:val="000000" w:themeColor="text1"/>
          <w:sz w:val="22"/>
          <w:szCs w:val="22"/>
        </w:rPr>
      </w:pPr>
      <w:r w:rsidRPr="00C01835">
        <w:rPr>
          <w:rFonts w:asciiTheme="minorHAnsi" w:hAnsiTheme="minorHAnsi" w:cstheme="minorHAnsi"/>
          <w:b/>
          <w:color w:val="000000" w:themeColor="text1"/>
          <w:sz w:val="22"/>
          <w:szCs w:val="22"/>
        </w:rPr>
        <w:t>GN14.1.</w:t>
      </w:r>
      <w:r w:rsidRPr="00C01835">
        <w:rPr>
          <w:rFonts w:asciiTheme="minorHAnsi" w:hAnsiTheme="minorHAnsi" w:cstheme="minorHAnsi"/>
          <w:color w:val="000000" w:themeColor="text1"/>
          <w:sz w:val="22"/>
          <w:szCs w:val="22"/>
        </w:rPr>
        <w:t xml:space="preserve"> The ESMS contain</w:t>
      </w:r>
      <w:r w:rsidR="004A326B" w:rsidRPr="00C01835">
        <w:rPr>
          <w:rFonts w:asciiTheme="minorHAnsi" w:hAnsiTheme="minorHAnsi" w:cstheme="minorHAnsi"/>
          <w:color w:val="000000" w:themeColor="text1"/>
          <w:sz w:val="22"/>
          <w:szCs w:val="22"/>
        </w:rPr>
        <w:t>s</w:t>
      </w:r>
      <w:r w:rsidRPr="00C01835">
        <w:rPr>
          <w:rFonts w:asciiTheme="minorHAnsi" w:hAnsiTheme="minorHAnsi" w:cstheme="minorHAnsi"/>
          <w:color w:val="000000" w:themeColor="text1"/>
          <w:sz w:val="22"/>
          <w:szCs w:val="22"/>
        </w:rPr>
        <w:t xml:space="preserve"> </w:t>
      </w:r>
      <w:r w:rsidR="0039714F">
        <w:rPr>
          <w:rFonts w:asciiTheme="minorHAnsi" w:hAnsiTheme="minorHAnsi" w:cstheme="minorHAnsi"/>
          <w:color w:val="000000" w:themeColor="text1"/>
          <w:sz w:val="22"/>
          <w:szCs w:val="22"/>
        </w:rPr>
        <w:t xml:space="preserve">the </w:t>
      </w:r>
      <w:r w:rsidRPr="00C01835">
        <w:rPr>
          <w:rFonts w:asciiTheme="minorHAnsi" w:hAnsiTheme="minorHAnsi" w:cstheme="minorHAnsi"/>
          <w:color w:val="000000" w:themeColor="text1"/>
          <w:sz w:val="22"/>
          <w:szCs w:val="22"/>
        </w:rPr>
        <w:t xml:space="preserve">elements </w:t>
      </w:r>
      <w:r w:rsidR="0039714F">
        <w:rPr>
          <w:rFonts w:asciiTheme="minorHAnsi" w:hAnsiTheme="minorHAnsi" w:cstheme="minorHAnsi"/>
          <w:color w:val="000000" w:themeColor="text1"/>
          <w:sz w:val="22"/>
          <w:szCs w:val="22"/>
        </w:rPr>
        <w:t xml:space="preserve">that </w:t>
      </w:r>
      <w:r w:rsidRPr="00C01835">
        <w:rPr>
          <w:rFonts w:asciiTheme="minorHAnsi" w:hAnsiTheme="minorHAnsi" w:cstheme="minorHAnsi"/>
          <w:color w:val="000000" w:themeColor="text1"/>
          <w:sz w:val="22"/>
          <w:szCs w:val="22"/>
        </w:rPr>
        <w:t>allow the FI to manage the en</w:t>
      </w:r>
      <w:r w:rsidR="00AA652B" w:rsidRPr="00F73059">
        <w:rPr>
          <w:i/>
          <w:iCs/>
          <w:noProof/>
          <w:sz w:val="24"/>
          <w:szCs w:val="24"/>
        </w:rPr>
        <mc:AlternateContent>
          <mc:Choice Requires="wps">
            <w:drawing>
              <wp:anchor distT="45720" distB="45720" distL="114300" distR="114300" simplePos="0" relativeHeight="251694080" behindDoc="0" locked="0" layoutInCell="1" allowOverlap="1" wp14:anchorId="156CF30A" wp14:editId="206D1E8C">
                <wp:simplePos x="0" y="0"/>
                <wp:positionH relativeFrom="page">
                  <wp:posOffset>7150735</wp:posOffset>
                </wp:positionH>
                <wp:positionV relativeFrom="page">
                  <wp:posOffset>8229600</wp:posOffset>
                </wp:positionV>
                <wp:extent cx="914400" cy="301752"/>
                <wp:effectExtent l="1587" t="0" r="1588" b="1587"/>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9A85677" w14:textId="77777777" w:rsidR="00AA652B" w:rsidRPr="00F73059" w:rsidRDefault="00AA652B" w:rsidP="00AA652B">
                            <w:pPr>
                              <w:jc w:val="center"/>
                              <w:rPr>
                                <w:b/>
                                <w:color w:val="FFFFFF" w:themeColor="background1"/>
                                <w:sz w:val="28"/>
                                <w:szCs w:val="28"/>
                              </w:rPr>
                            </w:pPr>
                            <w:r>
                              <w:rPr>
                                <w:b/>
                                <w:color w:val="FFFFFF" w:themeColor="background1"/>
                                <w:sz w:val="28"/>
                                <w:szCs w:val="28"/>
                              </w:rPr>
                              <w:t>ESS9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CF30A" id="Text Box 7" o:spid="_x0000_s1032" type="#_x0000_t202" style="position:absolute;left:0;text-align:left;margin-left:563.05pt;margin-top:9in;width:1in;height:23.75pt;rotation:-90;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" fillcolor="#70ad47 [3209]" stroked="f">
                <v:textbox>
                  <w:txbxContent>
                    <w:p w14:paraId="59A85677" w14:textId="77777777" w:rsidR="00AA652B" w:rsidRPr="00F73059" w:rsidRDefault="00AA652B" w:rsidP="00AA652B">
                      <w:pPr>
                        <w:jc w:val="center"/>
                        <w:rPr>
                          <w:b/>
                          <w:color w:val="FFFFFF" w:themeColor="background1"/>
                          <w:sz w:val="28"/>
                          <w:szCs w:val="28"/>
                        </w:rPr>
                      </w:pPr>
                      <w:r>
                        <w:rPr>
                          <w:b/>
                          <w:color w:val="FFFFFF" w:themeColor="background1"/>
                          <w:sz w:val="28"/>
                          <w:szCs w:val="28"/>
                        </w:rPr>
                        <w:t>ESS9</w:t>
                      </w:r>
                    </w:p>
                  </w:txbxContent>
                </v:textbox>
                <w10:wrap anchorx="page" anchory="page"/>
              </v:shape>
            </w:pict>
          </mc:Fallback>
        </mc:AlternateContent>
      </w:r>
      <w:r w:rsidRPr="00C01835">
        <w:rPr>
          <w:rFonts w:asciiTheme="minorHAnsi" w:hAnsiTheme="minorHAnsi" w:cstheme="minorHAnsi"/>
          <w:color w:val="000000" w:themeColor="text1"/>
          <w:sz w:val="22"/>
          <w:szCs w:val="22"/>
        </w:rPr>
        <w:t xml:space="preserve">vironmental and social risk of its operations and the subprojects it supports. </w:t>
      </w:r>
      <w:r w:rsidR="0039714F">
        <w:rPr>
          <w:rFonts w:asciiTheme="minorHAnsi" w:hAnsiTheme="minorHAnsi" w:cstheme="minorHAnsi"/>
          <w:color w:val="000000" w:themeColor="text1"/>
          <w:sz w:val="22"/>
          <w:szCs w:val="22"/>
        </w:rPr>
        <w:t xml:space="preserve">These elements </w:t>
      </w:r>
      <w:r w:rsidRPr="00C01835">
        <w:rPr>
          <w:rFonts w:asciiTheme="minorHAnsi" w:hAnsiTheme="minorHAnsi" w:cstheme="minorHAnsi"/>
          <w:color w:val="000000" w:themeColor="text1"/>
          <w:sz w:val="22"/>
          <w:szCs w:val="22"/>
        </w:rPr>
        <w:t xml:space="preserve">include: </w:t>
      </w:r>
    </w:p>
    <w:p w14:paraId="555A7CFD" w14:textId="77777777" w:rsidR="008400EF" w:rsidRPr="00C01835" w:rsidRDefault="008400EF" w:rsidP="00C01835">
      <w:pPr>
        <w:pStyle w:val="p1"/>
        <w:jc w:val="both"/>
        <w:rPr>
          <w:rFonts w:asciiTheme="minorHAnsi" w:hAnsiTheme="minorHAnsi" w:cstheme="minorHAnsi"/>
          <w:sz w:val="22"/>
          <w:szCs w:val="22"/>
        </w:rPr>
      </w:pPr>
    </w:p>
    <w:p w14:paraId="0B79D885" w14:textId="32E72CCC" w:rsidR="008400EF" w:rsidRDefault="00D406E0" w:rsidP="00724C6E">
      <w:pPr>
        <w:pStyle w:val="p1"/>
        <w:numPr>
          <w:ilvl w:val="0"/>
          <w:numId w:val="32"/>
        </w:numPr>
        <w:jc w:val="both"/>
        <w:rPr>
          <w:rFonts w:asciiTheme="minorHAnsi" w:hAnsiTheme="minorHAnsi" w:cstheme="minorHAnsi"/>
          <w:sz w:val="22"/>
          <w:szCs w:val="22"/>
        </w:rPr>
      </w:pPr>
      <w:r>
        <w:rPr>
          <w:rFonts w:asciiTheme="minorHAnsi" w:hAnsiTheme="minorHAnsi" w:cstheme="minorHAnsi"/>
          <w:sz w:val="22"/>
          <w:szCs w:val="22"/>
        </w:rPr>
        <w:t>a</w:t>
      </w:r>
      <w:r w:rsidR="008400EF" w:rsidRPr="00C01835">
        <w:rPr>
          <w:rFonts w:asciiTheme="minorHAnsi" w:hAnsiTheme="minorHAnsi" w:cstheme="minorHAnsi"/>
          <w:sz w:val="22"/>
          <w:szCs w:val="22"/>
        </w:rPr>
        <w:t>n environmental and social policy;</w:t>
      </w:r>
    </w:p>
    <w:p w14:paraId="4EEA2B35" w14:textId="77777777" w:rsidR="00C01835" w:rsidRPr="00C01835" w:rsidRDefault="00C01835" w:rsidP="00724C6E">
      <w:pPr>
        <w:pStyle w:val="p1"/>
        <w:ind w:left="360"/>
        <w:jc w:val="both"/>
        <w:rPr>
          <w:rFonts w:asciiTheme="minorHAnsi" w:hAnsiTheme="minorHAnsi" w:cstheme="minorHAnsi"/>
          <w:sz w:val="22"/>
          <w:szCs w:val="22"/>
        </w:rPr>
      </w:pPr>
    </w:p>
    <w:p w14:paraId="5C741B4A" w14:textId="69AE4BFF" w:rsidR="008400EF" w:rsidRDefault="00D406E0" w:rsidP="00724C6E">
      <w:pPr>
        <w:pStyle w:val="p1"/>
        <w:numPr>
          <w:ilvl w:val="0"/>
          <w:numId w:val="32"/>
        </w:numPr>
        <w:jc w:val="both"/>
        <w:rPr>
          <w:rFonts w:asciiTheme="minorHAnsi" w:hAnsiTheme="minorHAnsi" w:cstheme="minorHAnsi"/>
          <w:sz w:val="22"/>
          <w:szCs w:val="22"/>
        </w:rPr>
      </w:pPr>
      <w:r>
        <w:rPr>
          <w:rFonts w:asciiTheme="minorHAnsi" w:hAnsiTheme="minorHAnsi" w:cstheme="minorHAnsi"/>
          <w:sz w:val="22"/>
          <w:szCs w:val="22"/>
        </w:rPr>
        <w:t>p</w:t>
      </w:r>
      <w:r w:rsidR="008400EF" w:rsidRPr="00C01835">
        <w:rPr>
          <w:rFonts w:asciiTheme="minorHAnsi" w:hAnsiTheme="minorHAnsi" w:cstheme="minorHAnsi"/>
          <w:sz w:val="22"/>
          <w:szCs w:val="22"/>
        </w:rPr>
        <w:t>rocedures for the assessment and monitoring of sub-projects;</w:t>
      </w:r>
    </w:p>
    <w:p w14:paraId="2D3CCD05" w14:textId="0CB6DA7C" w:rsidR="00C01835" w:rsidRPr="00C01835" w:rsidRDefault="00C01835" w:rsidP="00724C6E">
      <w:pPr>
        <w:pStyle w:val="p1"/>
        <w:jc w:val="both"/>
        <w:rPr>
          <w:rFonts w:asciiTheme="minorHAnsi" w:hAnsiTheme="minorHAnsi" w:cstheme="minorHAnsi"/>
          <w:sz w:val="22"/>
          <w:szCs w:val="22"/>
        </w:rPr>
      </w:pPr>
    </w:p>
    <w:p w14:paraId="6D47CFD4" w14:textId="5EA67730" w:rsidR="008400EF" w:rsidRDefault="00D406E0" w:rsidP="00724C6E">
      <w:pPr>
        <w:pStyle w:val="p1"/>
        <w:numPr>
          <w:ilvl w:val="0"/>
          <w:numId w:val="32"/>
        </w:numPr>
        <w:jc w:val="both"/>
        <w:rPr>
          <w:rFonts w:asciiTheme="minorHAnsi" w:hAnsiTheme="minorHAnsi" w:cstheme="minorHAnsi"/>
          <w:sz w:val="22"/>
          <w:szCs w:val="22"/>
        </w:rPr>
      </w:pPr>
      <w:r>
        <w:rPr>
          <w:rFonts w:asciiTheme="minorHAnsi" w:hAnsiTheme="minorHAnsi" w:cstheme="minorHAnsi"/>
          <w:sz w:val="22"/>
          <w:szCs w:val="22"/>
        </w:rPr>
        <w:t>o</w:t>
      </w:r>
      <w:r w:rsidR="008400EF" w:rsidRPr="00C01835">
        <w:rPr>
          <w:rFonts w:asciiTheme="minorHAnsi" w:hAnsiTheme="minorHAnsi" w:cstheme="minorHAnsi"/>
          <w:sz w:val="22"/>
          <w:szCs w:val="22"/>
        </w:rPr>
        <w:t>rganizational capacity and competency of the FI;</w:t>
      </w:r>
    </w:p>
    <w:p w14:paraId="4F1FD77E" w14:textId="1A55BE7C" w:rsidR="00C01835" w:rsidRPr="00C01835" w:rsidRDefault="00C01835" w:rsidP="00724C6E">
      <w:pPr>
        <w:pStyle w:val="p1"/>
        <w:jc w:val="both"/>
        <w:rPr>
          <w:rFonts w:asciiTheme="minorHAnsi" w:hAnsiTheme="minorHAnsi" w:cstheme="minorHAnsi"/>
          <w:sz w:val="22"/>
          <w:szCs w:val="22"/>
        </w:rPr>
      </w:pPr>
    </w:p>
    <w:p w14:paraId="76FCF212" w14:textId="33374873" w:rsidR="008400EF" w:rsidRDefault="00D406E0" w:rsidP="00724C6E">
      <w:pPr>
        <w:pStyle w:val="p1"/>
        <w:numPr>
          <w:ilvl w:val="0"/>
          <w:numId w:val="32"/>
        </w:numPr>
        <w:jc w:val="both"/>
        <w:rPr>
          <w:rFonts w:asciiTheme="minorHAnsi" w:hAnsiTheme="minorHAnsi" w:cstheme="minorHAnsi"/>
          <w:sz w:val="22"/>
          <w:szCs w:val="22"/>
        </w:rPr>
      </w:pPr>
      <w:r>
        <w:rPr>
          <w:rFonts w:asciiTheme="minorHAnsi" w:hAnsiTheme="minorHAnsi" w:cstheme="minorHAnsi"/>
          <w:sz w:val="22"/>
          <w:szCs w:val="22"/>
        </w:rPr>
        <w:t>s</w:t>
      </w:r>
      <w:r w:rsidR="008400EF" w:rsidRPr="00C01835">
        <w:rPr>
          <w:rFonts w:asciiTheme="minorHAnsi" w:hAnsiTheme="minorHAnsi" w:cstheme="minorHAnsi"/>
          <w:sz w:val="22"/>
          <w:szCs w:val="22"/>
        </w:rPr>
        <w:t>takeholder engagement; and</w:t>
      </w:r>
    </w:p>
    <w:p w14:paraId="5D3BDBE7" w14:textId="280FB4EC" w:rsidR="00C01835" w:rsidRPr="00C01835" w:rsidRDefault="00C01835" w:rsidP="00724C6E">
      <w:pPr>
        <w:pStyle w:val="p1"/>
        <w:jc w:val="both"/>
        <w:rPr>
          <w:rFonts w:asciiTheme="minorHAnsi" w:hAnsiTheme="minorHAnsi" w:cstheme="minorHAnsi"/>
          <w:sz w:val="22"/>
          <w:szCs w:val="22"/>
        </w:rPr>
      </w:pPr>
    </w:p>
    <w:p w14:paraId="60DF98B2" w14:textId="6AE33FB6" w:rsidR="008400EF" w:rsidRPr="00C01835" w:rsidRDefault="00D406E0" w:rsidP="00724C6E">
      <w:pPr>
        <w:pStyle w:val="p1"/>
        <w:numPr>
          <w:ilvl w:val="0"/>
          <w:numId w:val="32"/>
        </w:numPr>
        <w:jc w:val="both"/>
        <w:rPr>
          <w:rFonts w:asciiTheme="minorHAnsi" w:hAnsiTheme="minorHAnsi" w:cstheme="minorHAnsi"/>
          <w:sz w:val="22"/>
          <w:szCs w:val="22"/>
        </w:rPr>
      </w:pPr>
      <w:r>
        <w:rPr>
          <w:rFonts w:asciiTheme="minorHAnsi" w:hAnsiTheme="minorHAnsi" w:cstheme="minorHAnsi"/>
          <w:sz w:val="22"/>
          <w:szCs w:val="22"/>
        </w:rPr>
        <w:t>m</w:t>
      </w:r>
      <w:r w:rsidR="008400EF" w:rsidRPr="00C01835">
        <w:rPr>
          <w:rFonts w:asciiTheme="minorHAnsi" w:hAnsiTheme="minorHAnsi" w:cstheme="minorHAnsi"/>
          <w:sz w:val="22"/>
          <w:szCs w:val="22"/>
        </w:rPr>
        <w:t>onitoring and reporting.</w:t>
      </w:r>
    </w:p>
    <w:p w14:paraId="7CF1BDC0" w14:textId="77777777" w:rsidR="008400EF" w:rsidRPr="00C01835" w:rsidRDefault="008400EF" w:rsidP="00C01835">
      <w:pPr>
        <w:pStyle w:val="ListParagraph"/>
        <w:spacing w:after="0" w:line="240" w:lineRule="auto"/>
        <w:ind w:left="0"/>
        <w:contextualSpacing w:val="0"/>
        <w:rPr>
          <w:rFonts w:cstheme="minorHAnsi"/>
          <w:color w:val="000000" w:themeColor="text1"/>
        </w:rPr>
      </w:pPr>
    </w:p>
    <w:tbl>
      <w:tblPr>
        <w:tblStyle w:val="TableGrid0"/>
        <w:tblW w:w="9355" w:type="dxa"/>
        <w:tblLayout w:type="fixed"/>
        <w:tblLook w:val="04A0" w:firstRow="1" w:lastRow="0" w:firstColumn="1" w:lastColumn="0" w:noHBand="0" w:noVBand="1"/>
      </w:tblPr>
      <w:tblGrid>
        <w:gridCol w:w="9355"/>
      </w:tblGrid>
      <w:tr w:rsidR="008400EF" w:rsidRPr="00C01835" w14:paraId="4BAE5353" w14:textId="77777777" w:rsidTr="008400EF">
        <w:tc>
          <w:tcPr>
            <w:tcW w:w="9355" w:type="dxa"/>
            <w:shd w:val="clear" w:color="auto" w:fill="E7E6E6" w:themeFill="background2"/>
          </w:tcPr>
          <w:p w14:paraId="13129A18" w14:textId="77777777" w:rsidR="008400EF" w:rsidRPr="00C01835" w:rsidRDefault="008400EF" w:rsidP="00C01835">
            <w:pPr>
              <w:pStyle w:val="Heading1"/>
              <w:numPr>
                <w:ilvl w:val="0"/>
                <w:numId w:val="0"/>
              </w:numPr>
              <w:spacing w:before="0" w:line="240" w:lineRule="auto"/>
              <w:jc w:val="left"/>
              <w:outlineLvl w:val="0"/>
              <w:rPr>
                <w:b w:val="0"/>
                <w:bCs w:val="0"/>
                <w:i/>
                <w:iCs/>
              </w:rPr>
            </w:pPr>
            <w:bookmarkStart w:id="6" w:name="_Toc494045543"/>
            <w:r w:rsidRPr="00C01835">
              <w:rPr>
                <w:i/>
                <w:color w:val="auto"/>
                <w:sz w:val="22"/>
                <w:szCs w:val="22"/>
              </w:rPr>
              <w:t>Environmental and Social Procedure</w:t>
            </w:r>
            <w:bookmarkEnd w:id="6"/>
          </w:p>
        </w:tc>
      </w:tr>
    </w:tbl>
    <w:p w14:paraId="79BF715D" w14:textId="77777777" w:rsidR="008400EF" w:rsidRPr="00C01835" w:rsidRDefault="008400EF" w:rsidP="00C01835">
      <w:pPr>
        <w:pStyle w:val="ListParagraph"/>
        <w:spacing w:after="0" w:line="240" w:lineRule="auto"/>
        <w:ind w:left="0"/>
        <w:contextualSpacing w:val="0"/>
        <w:rPr>
          <w:color w:val="000000" w:themeColor="text1"/>
        </w:rPr>
      </w:pP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2E71DBD5" w14:textId="77777777" w:rsidTr="00C01835">
        <w:tc>
          <w:tcPr>
            <w:tcW w:w="9355" w:type="dxa"/>
            <w:shd w:val="clear" w:color="auto" w:fill="E2EFD9" w:themeFill="accent6" w:themeFillTint="33"/>
          </w:tcPr>
          <w:p w14:paraId="406CF14D" w14:textId="552AFD52" w:rsidR="00845327" w:rsidRPr="00C01835" w:rsidRDefault="008400EF" w:rsidP="007C49E7">
            <w:pPr>
              <w:pStyle w:val="ListParagraph"/>
              <w:numPr>
                <w:ilvl w:val="0"/>
                <w:numId w:val="11"/>
              </w:numPr>
              <w:spacing w:after="0" w:line="240" w:lineRule="auto"/>
              <w:ind w:left="-19" w:right="46" w:firstLine="0"/>
              <w:contextualSpacing w:val="0"/>
              <w:rPr>
                <w:bCs/>
                <w:i/>
                <w:iCs/>
                <w:sz w:val="20"/>
                <w:szCs w:val="20"/>
              </w:rPr>
            </w:pPr>
            <w:r w:rsidRPr="00C01835">
              <w:rPr>
                <w:bCs/>
                <w:i/>
                <w:iCs/>
                <w:sz w:val="20"/>
                <w:szCs w:val="20"/>
              </w:rPr>
              <w:t>The FI will put in place and maintain clearly defined environmental and social procedures which reflect and implement the FI’s Environmental and Social Policy. The procedures will be proportionate to the nature of the FI and the level of potential environmental and social risks and impacts associated with the FI subprojects.</w:t>
            </w:r>
            <w:r w:rsidRPr="00C01835">
              <w:rPr>
                <w:bCs/>
                <w:i/>
                <w:iCs/>
                <w:sz w:val="20"/>
                <w:szCs w:val="20"/>
                <w:vertAlign w:val="superscript"/>
              </w:rPr>
              <w:t>10</w:t>
            </w:r>
          </w:p>
        </w:tc>
      </w:tr>
      <w:tr w:rsidR="008400EF" w:rsidRPr="00C01835" w14:paraId="0A405ECE" w14:textId="77777777" w:rsidTr="00C01835">
        <w:tc>
          <w:tcPr>
            <w:tcW w:w="9355" w:type="dxa"/>
            <w:shd w:val="clear" w:color="auto" w:fill="E2EFD9" w:themeFill="accent6" w:themeFillTint="33"/>
          </w:tcPr>
          <w:p w14:paraId="610B5172" w14:textId="050FAE7D" w:rsidR="00845327" w:rsidRPr="00C01835" w:rsidRDefault="007544F9" w:rsidP="00C01835">
            <w:pPr>
              <w:spacing w:after="0" w:line="240" w:lineRule="auto"/>
              <w:ind w:right="46"/>
              <w:rPr>
                <w:rFonts w:eastAsia="Times New Roman"/>
                <w:i/>
                <w:sz w:val="20"/>
                <w:szCs w:val="20"/>
              </w:rPr>
            </w:pPr>
            <w:r w:rsidRPr="00C01835">
              <w:rPr>
                <w:bCs/>
                <w:i/>
                <w:iCs/>
                <w:sz w:val="20"/>
                <w:szCs w:val="20"/>
              </w:rPr>
              <w:t>Footnote</w:t>
            </w:r>
            <w:r w:rsidRPr="00C01835">
              <w:rPr>
                <w:rFonts w:eastAsia="Times New Roman"/>
                <w:i/>
                <w:sz w:val="20"/>
                <w:szCs w:val="20"/>
              </w:rPr>
              <w:t xml:space="preserve"> </w:t>
            </w:r>
            <w:r w:rsidR="008400EF" w:rsidRPr="00C01835">
              <w:rPr>
                <w:rFonts w:eastAsia="Times New Roman"/>
                <w:i/>
                <w:sz w:val="20"/>
                <w:szCs w:val="20"/>
              </w:rPr>
              <w:t>10. Where the FI already has appropriate environmental and social procedures in place, it will provide adequate documented evidence of such procedures to the Bank and, following review by the Bank, will enhance them, as deemed necessary by the Bank.</w:t>
            </w:r>
          </w:p>
        </w:tc>
      </w:tr>
    </w:tbl>
    <w:p w14:paraId="6281B6E3" w14:textId="77777777" w:rsidR="008400EF" w:rsidRPr="00C01835" w:rsidRDefault="008400EF" w:rsidP="00C01835">
      <w:pPr>
        <w:pStyle w:val="ListParagraph"/>
        <w:spacing w:after="0" w:line="240" w:lineRule="auto"/>
        <w:ind w:left="0"/>
        <w:contextualSpacing w:val="0"/>
        <w:rPr>
          <w:color w:val="000000" w:themeColor="text1"/>
        </w:rPr>
      </w:pP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3C779759" w14:textId="77777777" w:rsidTr="00C01835">
        <w:tc>
          <w:tcPr>
            <w:tcW w:w="9355" w:type="dxa"/>
            <w:shd w:val="clear" w:color="auto" w:fill="E2EFD9" w:themeFill="accent6" w:themeFillTint="33"/>
          </w:tcPr>
          <w:p w14:paraId="05FA6150" w14:textId="77777777" w:rsidR="008400EF" w:rsidRPr="00C01835" w:rsidRDefault="008400EF" w:rsidP="007C49E7">
            <w:pPr>
              <w:numPr>
                <w:ilvl w:val="0"/>
                <w:numId w:val="11"/>
              </w:numPr>
              <w:spacing w:after="0" w:line="240" w:lineRule="auto"/>
              <w:ind w:left="-19" w:right="46" w:firstLine="0"/>
              <w:rPr>
                <w:rFonts w:eastAsia="Times New Roman"/>
                <w:i/>
                <w:sz w:val="20"/>
                <w:szCs w:val="20"/>
              </w:rPr>
            </w:pPr>
            <w:r w:rsidRPr="00C01835">
              <w:rPr>
                <w:rFonts w:eastAsia="Times New Roman"/>
                <w:i/>
                <w:sz w:val="20"/>
                <w:szCs w:val="20"/>
              </w:rPr>
              <w:t xml:space="preserve">The FI’s environmental and social procedures will include measures to: </w:t>
            </w:r>
          </w:p>
          <w:p w14:paraId="7173FBFF" w14:textId="77777777" w:rsidR="008400EF" w:rsidRPr="00C01835" w:rsidRDefault="008400EF" w:rsidP="00724C6E">
            <w:pPr>
              <w:numPr>
                <w:ilvl w:val="1"/>
                <w:numId w:val="33"/>
              </w:numPr>
              <w:spacing w:after="0" w:line="240" w:lineRule="auto"/>
              <w:ind w:right="46" w:hanging="360"/>
              <w:rPr>
                <w:rFonts w:eastAsia="Times New Roman"/>
                <w:i/>
                <w:sz w:val="20"/>
                <w:szCs w:val="20"/>
              </w:rPr>
            </w:pPr>
            <w:r w:rsidRPr="00C01835">
              <w:rPr>
                <w:rFonts w:eastAsia="Times New Roman"/>
                <w:i/>
                <w:sz w:val="20"/>
                <w:szCs w:val="20"/>
              </w:rPr>
              <w:t xml:space="preserve">Screen all FI subprojects against any exclusions in the legal agreement; </w:t>
            </w:r>
          </w:p>
          <w:p w14:paraId="0F44C534" w14:textId="7BD7BB0C" w:rsidR="008400EF" w:rsidRPr="00C01835" w:rsidRDefault="008400EF" w:rsidP="00724C6E">
            <w:pPr>
              <w:numPr>
                <w:ilvl w:val="1"/>
                <w:numId w:val="33"/>
              </w:numPr>
              <w:spacing w:after="0" w:line="240" w:lineRule="auto"/>
              <w:ind w:right="46" w:hanging="360"/>
              <w:rPr>
                <w:rFonts w:eastAsia="Times New Roman"/>
                <w:i/>
                <w:sz w:val="20"/>
                <w:szCs w:val="20"/>
              </w:rPr>
            </w:pPr>
            <w:r w:rsidRPr="00C01835">
              <w:rPr>
                <w:rFonts w:eastAsia="Times New Roman"/>
                <w:i/>
                <w:sz w:val="20"/>
                <w:szCs w:val="20"/>
              </w:rPr>
              <w:t>Screen, review and categorize the FI subprojects according to their potential environmental and social risks and impacts;</w:t>
            </w:r>
            <w:r w:rsidR="00C01835">
              <w:rPr>
                <w:rFonts w:eastAsia="Times New Roman"/>
                <w:i/>
                <w:sz w:val="20"/>
                <w:szCs w:val="20"/>
              </w:rPr>
              <w:t xml:space="preserve"> </w:t>
            </w:r>
          </w:p>
          <w:p w14:paraId="5C4E064C" w14:textId="0C7B343E" w:rsidR="008400EF" w:rsidRPr="00C01835" w:rsidRDefault="008400EF" w:rsidP="00724C6E">
            <w:pPr>
              <w:numPr>
                <w:ilvl w:val="1"/>
                <w:numId w:val="33"/>
              </w:numPr>
              <w:spacing w:after="0" w:line="240" w:lineRule="auto"/>
              <w:ind w:right="46" w:hanging="360"/>
              <w:rPr>
                <w:rFonts w:eastAsia="Times New Roman"/>
                <w:i/>
                <w:sz w:val="20"/>
                <w:szCs w:val="20"/>
              </w:rPr>
            </w:pPr>
            <w:r w:rsidRPr="00C01835">
              <w:rPr>
                <w:rFonts w:eastAsia="Times New Roman"/>
                <w:i/>
                <w:sz w:val="20"/>
                <w:szCs w:val="20"/>
              </w:rPr>
              <w:t>Require that all FI subprojects are assessed, prepared and implemented to meet national law and, in addition, where an FI subproject involves resettlement (unless the risks or impacts of such resettlement are minor), adverse risks or impacts on Indigenous Peoples or significant risks or impacts on the environment, community health and safety, labor and working conditions, biodiversity or cultural heritage, the relevant requirements of the ESSs are applied</w:t>
            </w:r>
            <w:r w:rsidR="008F5F89">
              <w:rPr>
                <w:rFonts w:eastAsia="Times New Roman"/>
                <w:i/>
                <w:sz w:val="20"/>
                <w:szCs w:val="20"/>
              </w:rPr>
              <w:t>;</w:t>
            </w:r>
            <w:r w:rsidRPr="00C01835">
              <w:rPr>
                <w:rFonts w:eastAsia="Times New Roman"/>
                <w:i/>
                <w:sz w:val="20"/>
                <w:szCs w:val="20"/>
                <w:vertAlign w:val="superscript"/>
              </w:rPr>
              <w:t>11</w:t>
            </w:r>
            <w:r w:rsidRPr="00C01835">
              <w:rPr>
                <w:rFonts w:eastAsia="Times New Roman"/>
                <w:i/>
                <w:sz w:val="20"/>
                <w:szCs w:val="20"/>
              </w:rPr>
              <w:t xml:space="preserve"> </w:t>
            </w:r>
          </w:p>
          <w:p w14:paraId="38548A78" w14:textId="77777777" w:rsidR="008400EF" w:rsidRPr="00C01835" w:rsidRDefault="008400EF" w:rsidP="00724C6E">
            <w:pPr>
              <w:numPr>
                <w:ilvl w:val="1"/>
                <w:numId w:val="33"/>
              </w:numPr>
              <w:spacing w:after="0" w:line="240" w:lineRule="auto"/>
              <w:ind w:right="46" w:hanging="360"/>
              <w:rPr>
                <w:rFonts w:eastAsia="Times New Roman"/>
                <w:i/>
                <w:sz w:val="20"/>
                <w:szCs w:val="20"/>
              </w:rPr>
            </w:pPr>
            <w:r w:rsidRPr="00C01835">
              <w:rPr>
                <w:rFonts w:eastAsia="Times New Roman"/>
                <w:i/>
                <w:sz w:val="20"/>
                <w:szCs w:val="20"/>
              </w:rPr>
              <w:t xml:space="preserve">Ensure that the measures needed to satisfy the requirements of (c) above are set out in the legal agreement between the FI and the sub-borrower; </w:t>
            </w:r>
          </w:p>
          <w:p w14:paraId="1E50F6E9" w14:textId="77777777" w:rsidR="008400EF" w:rsidRPr="00C01835" w:rsidRDefault="008400EF" w:rsidP="00724C6E">
            <w:pPr>
              <w:numPr>
                <w:ilvl w:val="1"/>
                <w:numId w:val="33"/>
              </w:numPr>
              <w:spacing w:after="0" w:line="240" w:lineRule="auto"/>
              <w:ind w:right="46" w:hanging="360"/>
              <w:rPr>
                <w:rFonts w:eastAsia="Times New Roman"/>
                <w:i/>
                <w:sz w:val="20"/>
                <w:szCs w:val="20"/>
              </w:rPr>
            </w:pPr>
            <w:r w:rsidRPr="00C01835">
              <w:rPr>
                <w:rFonts w:eastAsia="Times New Roman"/>
                <w:i/>
                <w:sz w:val="20"/>
                <w:szCs w:val="20"/>
              </w:rPr>
              <w:t xml:space="preserve">Monitor and keep and regularly update environmental and social information on FI subprojects; </w:t>
            </w:r>
          </w:p>
          <w:p w14:paraId="231D0FE7" w14:textId="6D8FE37F" w:rsidR="008400EF" w:rsidRPr="00C01835" w:rsidRDefault="008400EF" w:rsidP="00724C6E">
            <w:pPr>
              <w:numPr>
                <w:ilvl w:val="1"/>
                <w:numId w:val="33"/>
              </w:numPr>
              <w:spacing w:after="0" w:line="240" w:lineRule="auto"/>
              <w:ind w:right="46" w:hanging="360"/>
              <w:rPr>
                <w:bCs/>
                <w:i/>
                <w:iCs/>
                <w:sz w:val="20"/>
                <w:szCs w:val="20"/>
              </w:rPr>
            </w:pPr>
            <w:r w:rsidRPr="00C01835">
              <w:rPr>
                <w:rFonts w:eastAsia="Times New Roman"/>
                <w:i/>
                <w:sz w:val="20"/>
                <w:szCs w:val="20"/>
              </w:rPr>
              <w:t>If the risk profile of an FI subproject increases significantly, apply relevant requirements of the ESSs</w:t>
            </w:r>
            <w:r w:rsidRPr="00C01835">
              <w:rPr>
                <w:rFonts w:eastAsia="Times New Roman"/>
                <w:i/>
                <w:sz w:val="20"/>
                <w:szCs w:val="20"/>
                <w:vertAlign w:val="superscript"/>
              </w:rPr>
              <w:t xml:space="preserve">12 </w:t>
            </w:r>
            <w:r w:rsidRPr="00C01835">
              <w:rPr>
                <w:rFonts w:eastAsia="Times New Roman"/>
                <w:i/>
                <w:sz w:val="20"/>
                <w:szCs w:val="20"/>
              </w:rPr>
              <w:t xml:space="preserve">and document these appropriately; and </w:t>
            </w:r>
          </w:p>
          <w:p w14:paraId="2CF7E0CB" w14:textId="31E1F6B4" w:rsidR="00845327" w:rsidRPr="00C01835" w:rsidRDefault="008400EF" w:rsidP="00724C6E">
            <w:pPr>
              <w:numPr>
                <w:ilvl w:val="1"/>
                <w:numId w:val="33"/>
              </w:numPr>
              <w:spacing w:after="0" w:line="240" w:lineRule="auto"/>
              <w:ind w:right="46" w:hanging="360"/>
              <w:rPr>
                <w:bCs/>
                <w:i/>
                <w:iCs/>
                <w:sz w:val="20"/>
                <w:szCs w:val="20"/>
              </w:rPr>
            </w:pPr>
            <w:r w:rsidRPr="00C01835">
              <w:rPr>
                <w:rFonts w:eastAsia="Times New Roman"/>
                <w:i/>
                <w:sz w:val="20"/>
                <w:szCs w:val="20"/>
              </w:rPr>
              <w:t xml:space="preserve">Monitor the environmental and social risk of the FI portfolio. </w:t>
            </w:r>
          </w:p>
        </w:tc>
      </w:tr>
      <w:tr w:rsidR="008400EF" w:rsidRPr="00C01835" w14:paraId="45ACB66C" w14:textId="77777777" w:rsidTr="00C01835">
        <w:tc>
          <w:tcPr>
            <w:tcW w:w="9355" w:type="dxa"/>
            <w:shd w:val="clear" w:color="auto" w:fill="E2EFD9" w:themeFill="accent6" w:themeFillTint="33"/>
          </w:tcPr>
          <w:p w14:paraId="52F615BC" w14:textId="339828B6" w:rsidR="00845327" w:rsidRPr="00C01835" w:rsidRDefault="000A775C" w:rsidP="00C01835">
            <w:pPr>
              <w:spacing w:after="0" w:line="240" w:lineRule="auto"/>
              <w:ind w:right="46"/>
              <w:rPr>
                <w:rFonts w:eastAsia="Times New Roman"/>
                <w:i/>
                <w:sz w:val="20"/>
                <w:szCs w:val="20"/>
              </w:rPr>
            </w:pPr>
            <w:r w:rsidRPr="00C01835">
              <w:rPr>
                <w:bCs/>
                <w:i/>
                <w:iCs/>
                <w:sz w:val="20"/>
                <w:szCs w:val="20"/>
              </w:rPr>
              <w:t>Footnote</w:t>
            </w:r>
            <w:r w:rsidRPr="00C01835">
              <w:rPr>
                <w:rFonts w:eastAsia="Times New Roman"/>
                <w:i/>
                <w:sz w:val="20"/>
                <w:szCs w:val="20"/>
              </w:rPr>
              <w:t xml:space="preserve"> </w:t>
            </w:r>
            <w:r w:rsidR="008400EF" w:rsidRPr="00C01835">
              <w:rPr>
                <w:rFonts w:eastAsia="Times New Roman"/>
                <w:i/>
                <w:sz w:val="20"/>
                <w:szCs w:val="20"/>
              </w:rPr>
              <w:t>11.</w:t>
            </w:r>
            <w:r w:rsidR="008400EF" w:rsidRPr="00C01835">
              <w:rPr>
                <w:sz w:val="20"/>
                <w:szCs w:val="20"/>
              </w:rPr>
              <w:t xml:space="preserve"> </w:t>
            </w:r>
            <w:r w:rsidR="008400EF" w:rsidRPr="00C01835">
              <w:rPr>
                <w:rFonts w:eastAsia="Times New Roman"/>
                <w:i/>
                <w:sz w:val="20"/>
                <w:szCs w:val="20"/>
              </w:rPr>
              <w:t xml:space="preserve">The environmental and social procedures will require such FI subprojects to conduct stakeholder engagement pursuant to ESS10 in a manner proportionate to the risks and impacts of the FI subprojects. </w:t>
            </w:r>
          </w:p>
        </w:tc>
      </w:tr>
      <w:tr w:rsidR="008400EF" w:rsidRPr="00C01835" w14:paraId="4402000D" w14:textId="77777777" w:rsidTr="00C01835">
        <w:tc>
          <w:tcPr>
            <w:tcW w:w="9355" w:type="dxa"/>
            <w:shd w:val="clear" w:color="auto" w:fill="E2EFD9" w:themeFill="accent6" w:themeFillTint="33"/>
          </w:tcPr>
          <w:p w14:paraId="0DDF2102" w14:textId="744E0D24" w:rsidR="00845327" w:rsidRPr="00C01835" w:rsidRDefault="000A775C" w:rsidP="00C01835">
            <w:pPr>
              <w:spacing w:after="0" w:line="240" w:lineRule="auto"/>
              <w:ind w:right="46"/>
              <w:rPr>
                <w:rFonts w:eastAsia="Times New Roman"/>
                <w:i/>
                <w:sz w:val="20"/>
                <w:szCs w:val="20"/>
              </w:rPr>
            </w:pPr>
            <w:r w:rsidRPr="00C01835">
              <w:rPr>
                <w:bCs/>
                <w:i/>
                <w:iCs/>
                <w:sz w:val="20"/>
                <w:szCs w:val="20"/>
              </w:rPr>
              <w:t>Footnote</w:t>
            </w:r>
            <w:r w:rsidRPr="00C01835">
              <w:rPr>
                <w:rFonts w:eastAsia="Times New Roman"/>
                <w:i/>
                <w:sz w:val="20"/>
                <w:szCs w:val="20"/>
              </w:rPr>
              <w:t xml:space="preserve"> </w:t>
            </w:r>
            <w:r w:rsidR="008400EF" w:rsidRPr="00C01835">
              <w:rPr>
                <w:rFonts w:eastAsia="Times New Roman"/>
                <w:i/>
                <w:sz w:val="20"/>
                <w:szCs w:val="20"/>
              </w:rPr>
              <w:t>12. The ‘relevant requirements of the ESSs’ will relate to the reasons for which the risk profile of the FI subproject has increased.</w:t>
            </w:r>
          </w:p>
        </w:tc>
      </w:tr>
    </w:tbl>
    <w:p w14:paraId="5737B552" w14:textId="77777777" w:rsidR="008400EF" w:rsidRPr="00C01835" w:rsidRDefault="008400EF" w:rsidP="00C01835">
      <w:pPr>
        <w:spacing w:after="0" w:line="240" w:lineRule="auto"/>
      </w:pPr>
    </w:p>
    <w:p w14:paraId="797BA75B" w14:textId="3656BF00" w:rsidR="00171A68" w:rsidRPr="00C01835" w:rsidRDefault="008400EF" w:rsidP="00C01835">
      <w:pPr>
        <w:spacing w:after="0" w:line="240" w:lineRule="auto"/>
      </w:pPr>
      <w:r w:rsidRPr="00C01835">
        <w:rPr>
          <w:b/>
        </w:rPr>
        <w:t>GN16.</w:t>
      </w:r>
      <w:r w:rsidR="001E240B" w:rsidRPr="00C01835">
        <w:rPr>
          <w:b/>
        </w:rPr>
        <w:t>1</w:t>
      </w:r>
      <w:r w:rsidRPr="00C01835">
        <w:rPr>
          <w:b/>
        </w:rPr>
        <w:t xml:space="preserve">. </w:t>
      </w:r>
      <w:r w:rsidRPr="00C01835">
        <w:t xml:space="preserve">If the risk profile of </w:t>
      </w:r>
      <w:r w:rsidR="001E240B" w:rsidRPr="00C01835">
        <w:t xml:space="preserve">an </w:t>
      </w:r>
      <w:r w:rsidRPr="00C01835">
        <w:t>FI subproject increases</w:t>
      </w:r>
      <w:r w:rsidR="00F16590">
        <w:t xml:space="preserve"> significantly</w:t>
      </w:r>
      <w:r w:rsidRPr="00C01835">
        <w:t>,</w:t>
      </w:r>
      <w:r w:rsidR="00920C35">
        <w:t xml:space="preserve"> </w:t>
      </w:r>
      <w:r w:rsidR="00F16590">
        <w:t>and</w:t>
      </w:r>
      <w:r w:rsidRPr="00C01835">
        <w:t xml:space="preserve"> the </w:t>
      </w:r>
      <w:r w:rsidR="0044385B" w:rsidRPr="00C01835">
        <w:t xml:space="preserve">FI’s </w:t>
      </w:r>
      <w:r w:rsidRPr="00C01835">
        <w:t>existing environmental and social procedure</w:t>
      </w:r>
      <w:r w:rsidR="001E240B" w:rsidRPr="00C01835">
        <w:t>s</w:t>
      </w:r>
      <w:r w:rsidRPr="00C01835">
        <w:t xml:space="preserve"> </w:t>
      </w:r>
      <w:r w:rsidR="001E240B" w:rsidRPr="00C01835">
        <w:t>are</w:t>
      </w:r>
      <w:r w:rsidRPr="00C01835">
        <w:t xml:space="preserve"> not adequate to address this in</w:t>
      </w:r>
      <w:r w:rsidR="00AA652B" w:rsidRPr="00F73059">
        <w:rPr>
          <w:i/>
          <w:iCs/>
          <w:noProof/>
          <w:sz w:val="24"/>
          <w:szCs w:val="24"/>
          <w:lang w:eastAsia="en-US"/>
        </w:rPr>
        <mc:AlternateContent>
          <mc:Choice Requires="wps">
            <w:drawing>
              <wp:anchor distT="45720" distB="45720" distL="114300" distR="114300" simplePos="0" relativeHeight="251696128" behindDoc="0" locked="0" layoutInCell="1" allowOverlap="1" wp14:anchorId="38EA3EF0" wp14:editId="608C90BE">
                <wp:simplePos x="0" y="0"/>
                <wp:positionH relativeFrom="page">
                  <wp:posOffset>7150735</wp:posOffset>
                </wp:positionH>
                <wp:positionV relativeFrom="page">
                  <wp:posOffset>8229600</wp:posOffset>
                </wp:positionV>
                <wp:extent cx="914400" cy="301752"/>
                <wp:effectExtent l="1587" t="0" r="1588" b="1587"/>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A2950A6" w14:textId="77777777" w:rsidR="00AA652B" w:rsidRPr="00F73059" w:rsidRDefault="00AA652B" w:rsidP="00AA652B">
                            <w:pPr>
                              <w:jc w:val="center"/>
                              <w:rPr>
                                <w:b/>
                                <w:color w:val="FFFFFF" w:themeColor="background1"/>
                                <w:sz w:val="28"/>
                                <w:szCs w:val="28"/>
                              </w:rPr>
                            </w:pPr>
                            <w:r>
                              <w:rPr>
                                <w:b/>
                                <w:color w:val="FFFFFF" w:themeColor="background1"/>
                                <w:sz w:val="28"/>
                                <w:szCs w:val="28"/>
                              </w:rPr>
                              <w:t>ESS9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A3EF0" id="Text Box 8" o:spid="_x0000_s1033" type="#_x0000_t202" style="position:absolute;left:0;text-align:left;margin-left:563.05pt;margin-top:9in;width:1in;height:23.75pt;rotation:-90;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" fillcolor="#70ad47 [3209]" stroked="f">
                <v:textbox>
                  <w:txbxContent>
                    <w:p w14:paraId="0A2950A6" w14:textId="77777777" w:rsidR="00AA652B" w:rsidRPr="00F73059" w:rsidRDefault="00AA652B" w:rsidP="00AA652B">
                      <w:pPr>
                        <w:jc w:val="center"/>
                        <w:rPr>
                          <w:b/>
                          <w:color w:val="FFFFFF" w:themeColor="background1"/>
                          <w:sz w:val="28"/>
                          <w:szCs w:val="28"/>
                        </w:rPr>
                      </w:pPr>
                      <w:r>
                        <w:rPr>
                          <w:b/>
                          <w:color w:val="FFFFFF" w:themeColor="background1"/>
                          <w:sz w:val="28"/>
                          <w:szCs w:val="28"/>
                        </w:rPr>
                        <w:t>ESS9</w:t>
                      </w:r>
                    </w:p>
                  </w:txbxContent>
                </v:textbox>
                <w10:wrap anchorx="page" anchory="page"/>
              </v:shape>
            </w:pict>
          </mc:Fallback>
        </mc:AlternateContent>
      </w:r>
      <w:r w:rsidRPr="00C01835">
        <w:t xml:space="preserve">creased risk, </w:t>
      </w:r>
      <w:r w:rsidR="00C80AE7" w:rsidRPr="00C01835">
        <w:t>the FI</w:t>
      </w:r>
      <w:r w:rsidRPr="00C01835">
        <w:t xml:space="preserve"> </w:t>
      </w:r>
      <w:r w:rsidR="0096500A" w:rsidRPr="00C01835">
        <w:t>modifies</w:t>
      </w:r>
      <w:r w:rsidRPr="00C01835">
        <w:t xml:space="preserve"> </w:t>
      </w:r>
      <w:r w:rsidR="00F16590">
        <w:t>such</w:t>
      </w:r>
      <w:r w:rsidRPr="00C01835">
        <w:t xml:space="preserve"> procedure</w:t>
      </w:r>
      <w:r w:rsidR="001E240B" w:rsidRPr="00C01835">
        <w:t>s</w:t>
      </w:r>
      <w:r w:rsidRPr="00C01835">
        <w:t xml:space="preserve"> as necessary. </w:t>
      </w:r>
    </w:p>
    <w:p w14:paraId="55B13C55" w14:textId="77777777" w:rsidR="008400EF" w:rsidRPr="00C01835" w:rsidRDefault="008400EF" w:rsidP="00C01835">
      <w:pPr>
        <w:spacing w:after="0" w:line="240" w:lineRule="auto"/>
      </w:pP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24294A28" w14:textId="77777777" w:rsidTr="00C01835">
        <w:tc>
          <w:tcPr>
            <w:tcW w:w="9355" w:type="dxa"/>
            <w:shd w:val="clear" w:color="auto" w:fill="E2EFD9" w:themeFill="accent6" w:themeFillTint="33"/>
          </w:tcPr>
          <w:p w14:paraId="0B645BFA" w14:textId="628C0181" w:rsidR="00845327" w:rsidRPr="00C01835" w:rsidRDefault="008400EF" w:rsidP="007C49E7">
            <w:pPr>
              <w:numPr>
                <w:ilvl w:val="0"/>
                <w:numId w:val="11"/>
              </w:numPr>
              <w:spacing w:after="0" w:line="240" w:lineRule="auto"/>
              <w:ind w:left="-19" w:right="46" w:firstLine="0"/>
              <w:rPr>
                <w:bCs/>
                <w:i/>
                <w:iCs/>
                <w:sz w:val="20"/>
                <w:szCs w:val="20"/>
              </w:rPr>
            </w:pPr>
            <w:r w:rsidRPr="00C01835">
              <w:rPr>
                <w:rFonts w:eastAsia="Times New Roman"/>
                <w:i/>
                <w:sz w:val="20"/>
                <w:szCs w:val="20"/>
              </w:rPr>
              <w:lastRenderedPageBreak/>
              <w:t xml:space="preserve">As part of the environmental and social procedures, the FI will develop and adopt a categorization system for subprojects with clearly defined risk categories. </w:t>
            </w:r>
            <w:r w:rsidRPr="00C01835">
              <w:rPr>
                <w:rFonts w:eastAsia="Times New Roman"/>
                <w:i/>
                <w:sz w:val="20"/>
                <w:szCs w:val="20"/>
                <w:vertAlign w:val="superscript"/>
              </w:rPr>
              <w:t>13</w:t>
            </w:r>
            <w:r w:rsidRPr="00C01835">
              <w:rPr>
                <w:rFonts w:eastAsia="Times New Roman"/>
                <w:i/>
                <w:sz w:val="20"/>
                <w:szCs w:val="20"/>
              </w:rPr>
              <w:t xml:space="preserve"> The categorization system will take into account (i) the nature and magnitude of environmental and social risks and impacts of subprojects; (ii) sectoral and geographical context; (iii) type of financing. The risk categorization will inform the scope and nature of the FI’s environmental and social due diligence and risk management of its subprojects. Such categorization system will allow for a systematic aggregation and analysis of risk at the portfolio level. </w:t>
            </w:r>
          </w:p>
        </w:tc>
      </w:tr>
      <w:tr w:rsidR="008400EF" w:rsidRPr="00C01835" w14:paraId="5116B6F2" w14:textId="77777777" w:rsidTr="00C01835">
        <w:tc>
          <w:tcPr>
            <w:tcW w:w="9355" w:type="dxa"/>
            <w:shd w:val="clear" w:color="auto" w:fill="E2EFD9" w:themeFill="accent6" w:themeFillTint="33"/>
          </w:tcPr>
          <w:p w14:paraId="5F0EAD2E" w14:textId="30BA8ACB" w:rsidR="00845327" w:rsidRPr="00C01835" w:rsidRDefault="000A775C" w:rsidP="00C01835">
            <w:pPr>
              <w:spacing w:after="0" w:line="240" w:lineRule="auto"/>
              <w:ind w:right="46"/>
              <w:rPr>
                <w:rFonts w:eastAsia="Times New Roman"/>
                <w:i/>
                <w:sz w:val="20"/>
                <w:szCs w:val="20"/>
              </w:rPr>
            </w:pPr>
            <w:r w:rsidRPr="00C01835">
              <w:rPr>
                <w:bCs/>
                <w:i/>
                <w:iCs/>
                <w:sz w:val="20"/>
                <w:szCs w:val="20"/>
              </w:rPr>
              <w:t>Footnote</w:t>
            </w:r>
            <w:r w:rsidRPr="00C01835">
              <w:rPr>
                <w:rFonts w:eastAsia="Times New Roman"/>
                <w:i/>
                <w:sz w:val="20"/>
                <w:szCs w:val="20"/>
              </w:rPr>
              <w:t xml:space="preserve"> </w:t>
            </w:r>
            <w:r w:rsidR="008400EF" w:rsidRPr="00C01835">
              <w:rPr>
                <w:rFonts w:eastAsia="Times New Roman"/>
                <w:i/>
                <w:sz w:val="20"/>
                <w:szCs w:val="20"/>
              </w:rPr>
              <w:t>13.</w:t>
            </w:r>
            <w:r w:rsidR="008400EF" w:rsidRPr="00C01835">
              <w:rPr>
                <w:sz w:val="20"/>
                <w:szCs w:val="20"/>
              </w:rPr>
              <w:t xml:space="preserve"> </w:t>
            </w:r>
            <w:r w:rsidR="008400EF" w:rsidRPr="00C01835">
              <w:rPr>
                <w:i/>
                <w:sz w:val="20"/>
                <w:szCs w:val="20"/>
              </w:rPr>
              <w:t>A typical categorization system used by FIs may consist of three or four risk categorizes, which correspond to high, substantial, moderate, or low risk. Good international practice in some instances suggests that four risk categories allow for more comprehensive assessment and management of environmental and social risk by FIs.</w:t>
            </w:r>
          </w:p>
        </w:tc>
      </w:tr>
    </w:tbl>
    <w:p w14:paraId="7D229E4F" w14:textId="77777777" w:rsidR="008400EF" w:rsidRPr="00C01835" w:rsidRDefault="008400EF" w:rsidP="00C01835">
      <w:pPr>
        <w:pStyle w:val="ListParagraph"/>
        <w:spacing w:after="0" w:line="240" w:lineRule="auto"/>
        <w:ind w:left="0"/>
        <w:contextualSpacing w:val="0"/>
        <w:rPr>
          <w:color w:val="000000" w:themeColor="text1"/>
        </w:rPr>
      </w:pP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54CA3048" w14:textId="77777777" w:rsidTr="00C01835">
        <w:tc>
          <w:tcPr>
            <w:tcW w:w="9355" w:type="dxa"/>
            <w:shd w:val="clear" w:color="auto" w:fill="E2EFD9" w:themeFill="accent6" w:themeFillTint="33"/>
          </w:tcPr>
          <w:p w14:paraId="3420437F" w14:textId="0EB92325" w:rsidR="00845327" w:rsidRPr="00C01835" w:rsidRDefault="008400EF" w:rsidP="007C49E7">
            <w:pPr>
              <w:pStyle w:val="ListParagraph"/>
              <w:numPr>
                <w:ilvl w:val="0"/>
                <w:numId w:val="11"/>
              </w:numPr>
              <w:spacing w:after="0" w:line="240" w:lineRule="auto"/>
              <w:ind w:left="-19" w:right="46" w:firstLine="0"/>
              <w:contextualSpacing w:val="0"/>
              <w:rPr>
                <w:bCs/>
                <w:i/>
                <w:iCs/>
                <w:sz w:val="20"/>
                <w:szCs w:val="20"/>
              </w:rPr>
            </w:pPr>
            <w:r w:rsidRPr="00C01835">
              <w:rPr>
                <w:rFonts w:eastAsia="Times New Roman"/>
                <w:i/>
                <w:sz w:val="20"/>
                <w:szCs w:val="20"/>
              </w:rPr>
              <w:t xml:space="preserve">As part of its environmental and social risk categorization system, the FIs will categorize any subproject which involves resettlement (unless the risks or impacts of such resettlement are minor), adverse risks or impacts on Indigenous Peoples or significant risks or impacts on the environment, community health and safety, labor and working conditions, biodiversity or cultural heritage, as high or substantial risk. </w:t>
            </w:r>
          </w:p>
        </w:tc>
      </w:tr>
    </w:tbl>
    <w:p w14:paraId="6BAB2F7E" w14:textId="3ADD42A7" w:rsidR="008400EF" w:rsidRPr="00C01835" w:rsidRDefault="00072A88" w:rsidP="00C01835">
      <w:pPr>
        <w:pStyle w:val="ListParagraph"/>
        <w:spacing w:after="0" w:line="240" w:lineRule="auto"/>
        <w:ind w:left="0"/>
        <w:contextualSpacing w:val="0"/>
        <w:rPr>
          <w:color w:val="000000" w:themeColor="text1"/>
        </w:rPr>
      </w:pPr>
      <w:r w:rsidRPr="00F73059">
        <w:rPr>
          <w:i/>
          <w:iCs/>
          <w:noProof/>
          <w:sz w:val="24"/>
          <w:szCs w:val="24"/>
          <w:lang w:eastAsia="en-US"/>
        </w:rPr>
        <mc:AlternateContent>
          <mc:Choice Requires="wps">
            <w:drawing>
              <wp:anchor distT="45720" distB="45720" distL="114300" distR="114300" simplePos="0" relativeHeight="251663872" behindDoc="0" locked="0" layoutInCell="1" allowOverlap="1" wp14:anchorId="5552D82F" wp14:editId="50DD91CD">
                <wp:simplePos x="0" y="0"/>
                <wp:positionH relativeFrom="page">
                  <wp:posOffset>7150735</wp:posOffset>
                </wp:positionH>
                <wp:positionV relativeFrom="page">
                  <wp:posOffset>8229600</wp:posOffset>
                </wp:positionV>
                <wp:extent cx="914400" cy="301752"/>
                <wp:effectExtent l="1587" t="0" r="1588" b="1587"/>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28747E1" w14:textId="77777777" w:rsidR="00072A88" w:rsidRPr="00F73059" w:rsidRDefault="00072A88" w:rsidP="00072A88">
                            <w:pPr>
                              <w:jc w:val="center"/>
                              <w:rPr>
                                <w:b/>
                                <w:color w:val="FFFFFF" w:themeColor="background1"/>
                                <w:sz w:val="28"/>
                                <w:szCs w:val="28"/>
                              </w:rPr>
                            </w:pPr>
                            <w:r>
                              <w:rPr>
                                <w:b/>
                                <w:color w:val="FFFFFF" w:themeColor="background1"/>
                                <w:sz w:val="28"/>
                                <w:szCs w:val="28"/>
                              </w:rPr>
                              <w:t>ESS9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2D82F" id="Text Box 13" o:spid="_x0000_s1034" type="#_x0000_t202" style="position:absolute;left:0;text-align:left;margin-left:563.05pt;margin-top:9in;width:1in;height:23.75pt;rotation:-90;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" fillcolor="#70ad47 [3209]" stroked="f">
                <v:textbox>
                  <w:txbxContent>
                    <w:p w14:paraId="228747E1" w14:textId="77777777" w:rsidR="00072A88" w:rsidRPr="00F73059" w:rsidRDefault="00072A88" w:rsidP="00072A88">
                      <w:pPr>
                        <w:jc w:val="center"/>
                        <w:rPr>
                          <w:b/>
                          <w:color w:val="FFFFFF" w:themeColor="background1"/>
                          <w:sz w:val="28"/>
                          <w:szCs w:val="28"/>
                        </w:rPr>
                      </w:pPr>
                      <w:r>
                        <w:rPr>
                          <w:b/>
                          <w:color w:val="FFFFFF" w:themeColor="background1"/>
                          <w:sz w:val="28"/>
                          <w:szCs w:val="28"/>
                        </w:rPr>
                        <w:t>ESS9</w:t>
                      </w:r>
                    </w:p>
                  </w:txbxContent>
                </v:textbox>
                <w10:wrap anchorx="page" anchory="page"/>
              </v:shape>
            </w:pict>
          </mc:Fallback>
        </mc:AlternateContent>
      </w:r>
    </w:p>
    <w:tbl>
      <w:tblPr>
        <w:tblStyle w:val="TableGrid0"/>
        <w:tblW w:w="9355" w:type="dxa"/>
        <w:tblLayout w:type="fixed"/>
        <w:tblLook w:val="04A0" w:firstRow="1" w:lastRow="0" w:firstColumn="1" w:lastColumn="0" w:noHBand="0" w:noVBand="1"/>
      </w:tblPr>
      <w:tblGrid>
        <w:gridCol w:w="9355"/>
      </w:tblGrid>
      <w:tr w:rsidR="008400EF" w:rsidRPr="00C01835" w14:paraId="2A1D510A" w14:textId="77777777" w:rsidTr="008400EF">
        <w:tc>
          <w:tcPr>
            <w:tcW w:w="9355" w:type="dxa"/>
            <w:shd w:val="clear" w:color="auto" w:fill="E7E6E6" w:themeFill="background2"/>
          </w:tcPr>
          <w:p w14:paraId="2149DFD9" w14:textId="77777777" w:rsidR="008400EF" w:rsidRPr="00C01835" w:rsidRDefault="008400EF" w:rsidP="00C01835">
            <w:pPr>
              <w:pStyle w:val="Heading1"/>
              <w:numPr>
                <w:ilvl w:val="0"/>
                <w:numId w:val="0"/>
              </w:numPr>
              <w:spacing w:before="0" w:line="240" w:lineRule="auto"/>
              <w:jc w:val="left"/>
              <w:outlineLvl w:val="0"/>
              <w:rPr>
                <w:b w:val="0"/>
                <w:bCs w:val="0"/>
                <w:i/>
                <w:iCs/>
              </w:rPr>
            </w:pPr>
            <w:bookmarkStart w:id="7" w:name="_Toc494045544"/>
            <w:r w:rsidRPr="00C01835">
              <w:rPr>
                <w:i/>
                <w:color w:val="auto"/>
                <w:sz w:val="22"/>
                <w:szCs w:val="22"/>
              </w:rPr>
              <w:t>Organizational Capacity and Competency</w:t>
            </w:r>
            <w:bookmarkEnd w:id="7"/>
          </w:p>
        </w:tc>
      </w:tr>
    </w:tbl>
    <w:p w14:paraId="41BAB1DE" w14:textId="77777777" w:rsidR="008400EF" w:rsidRPr="00C01835" w:rsidRDefault="008400EF" w:rsidP="00C01835">
      <w:pPr>
        <w:pStyle w:val="ListParagraph"/>
        <w:spacing w:after="0" w:line="240" w:lineRule="auto"/>
        <w:ind w:left="0"/>
        <w:contextualSpacing w:val="0"/>
        <w:rPr>
          <w:color w:val="000000" w:themeColor="text1"/>
        </w:rPr>
      </w:pP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40A27C34" w14:textId="77777777" w:rsidTr="00C01835">
        <w:tc>
          <w:tcPr>
            <w:tcW w:w="9355" w:type="dxa"/>
            <w:shd w:val="clear" w:color="auto" w:fill="E2EFD9" w:themeFill="accent6" w:themeFillTint="33"/>
          </w:tcPr>
          <w:p w14:paraId="51A4F6F2" w14:textId="31AFE105" w:rsidR="008400EF" w:rsidRPr="00C01835" w:rsidRDefault="008400EF" w:rsidP="007C49E7">
            <w:pPr>
              <w:pStyle w:val="ESSpara"/>
              <w:numPr>
                <w:ilvl w:val="0"/>
                <w:numId w:val="13"/>
              </w:numPr>
              <w:spacing w:after="0"/>
              <w:ind w:left="-19" w:firstLine="0"/>
              <w:rPr>
                <w:bCs/>
                <w:i/>
                <w:iCs/>
                <w:sz w:val="20"/>
                <w:szCs w:val="20"/>
              </w:rPr>
            </w:pPr>
            <w:r w:rsidRPr="00C01835">
              <w:rPr>
                <w:bCs/>
                <w:i/>
                <w:iCs/>
                <w:sz w:val="20"/>
                <w:szCs w:val="20"/>
              </w:rPr>
              <w:t>The FI will develop and maintain organizational capacity and competency for implementing the ESMS with clearly defined roles and responsibilities. The FI will designate a representative of the FI’s senior management to have overall accountability for environmental and social performance of the FI subprojects, including the implementation of this ESS and ESS2 and resources necessary to support such implementation. The representative will: (a) designate a staff member to be responsible for day-to-day implementation of the ESMS, including the environmental and social procedures; (b) ensure that adequate resources are available for management of and training in environmental and social issues; and (c) ensure that adequate technical expertise, either in-house or external expert support, is available to carry out due diligence and manage the environmental and social risks of the FI subprojects, including providing implementation support as required.</w:t>
            </w:r>
          </w:p>
        </w:tc>
      </w:tr>
    </w:tbl>
    <w:p w14:paraId="573DD41E" w14:textId="77777777" w:rsidR="008400EF" w:rsidRPr="00C01835" w:rsidRDefault="008400EF" w:rsidP="00C01835">
      <w:pPr>
        <w:tabs>
          <w:tab w:val="left" w:pos="0"/>
        </w:tabs>
        <w:spacing w:after="0" w:line="240" w:lineRule="auto"/>
        <w:rPr>
          <w:color w:val="000000" w:themeColor="text1"/>
        </w:rPr>
      </w:pP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23EBD3BE" w14:textId="77777777" w:rsidTr="00C01835">
        <w:tc>
          <w:tcPr>
            <w:tcW w:w="9355" w:type="dxa"/>
            <w:shd w:val="clear" w:color="auto" w:fill="E2EFD9" w:themeFill="accent6" w:themeFillTint="33"/>
          </w:tcPr>
          <w:p w14:paraId="5752F0C7" w14:textId="2B81BFAF" w:rsidR="008400EF" w:rsidRPr="00C01835" w:rsidRDefault="008400EF" w:rsidP="007C49E7">
            <w:pPr>
              <w:pStyle w:val="ESSpara"/>
              <w:numPr>
                <w:ilvl w:val="0"/>
                <w:numId w:val="13"/>
              </w:numPr>
              <w:spacing w:after="0"/>
              <w:ind w:left="-19" w:firstLine="0"/>
              <w:rPr>
                <w:bCs/>
                <w:i/>
                <w:iCs/>
                <w:sz w:val="20"/>
                <w:szCs w:val="20"/>
              </w:rPr>
            </w:pPr>
            <w:r w:rsidRPr="00C01835">
              <w:rPr>
                <w:bCs/>
                <w:i/>
                <w:iCs/>
                <w:sz w:val="20"/>
                <w:szCs w:val="20"/>
              </w:rPr>
              <w:t>The FI will ensure that the requirements of this ESS and ESS2 are clearly communicated to all relevant FI personnel</w:t>
            </w:r>
            <w:r w:rsidR="0011557C">
              <w:rPr>
                <w:bCs/>
                <w:i/>
                <w:iCs/>
                <w:sz w:val="20"/>
                <w:szCs w:val="20"/>
              </w:rPr>
              <w:t>,</w:t>
            </w:r>
            <w:r w:rsidR="000A775C" w:rsidRPr="00C01835">
              <w:rPr>
                <w:bCs/>
                <w:i/>
                <w:iCs/>
                <w:sz w:val="20"/>
                <w:szCs w:val="20"/>
                <w:vertAlign w:val="superscript"/>
              </w:rPr>
              <w:t>14</w:t>
            </w:r>
            <w:r w:rsidRPr="00C01835">
              <w:rPr>
                <w:bCs/>
                <w:i/>
                <w:iCs/>
                <w:sz w:val="20"/>
                <w:szCs w:val="20"/>
              </w:rPr>
              <w:t xml:space="preserve"> and to ensure that relevant personnel have the necessary knowledge and capabilities</w:t>
            </w:r>
            <w:r w:rsidR="000A775C" w:rsidRPr="00C01835">
              <w:rPr>
                <w:bCs/>
                <w:i/>
                <w:iCs/>
                <w:sz w:val="20"/>
                <w:szCs w:val="20"/>
                <w:vertAlign w:val="superscript"/>
              </w:rPr>
              <w:t>15</w:t>
            </w:r>
            <w:r w:rsidR="000A775C" w:rsidRPr="00C01835">
              <w:rPr>
                <w:bCs/>
                <w:i/>
                <w:iCs/>
                <w:sz w:val="20"/>
                <w:szCs w:val="20"/>
              </w:rPr>
              <w:t xml:space="preserve"> </w:t>
            </w:r>
            <w:r w:rsidRPr="00C01835">
              <w:rPr>
                <w:bCs/>
                <w:i/>
                <w:iCs/>
                <w:sz w:val="20"/>
                <w:szCs w:val="20"/>
              </w:rPr>
              <w:t>for managing environmental and social risks in accordance with the FI’s ESMS.</w:t>
            </w:r>
          </w:p>
        </w:tc>
      </w:tr>
      <w:tr w:rsidR="008400EF" w:rsidRPr="00C01835" w14:paraId="541929D0" w14:textId="77777777" w:rsidTr="00C01835">
        <w:tc>
          <w:tcPr>
            <w:tcW w:w="9355" w:type="dxa"/>
            <w:shd w:val="clear" w:color="auto" w:fill="E2EFD9" w:themeFill="accent6" w:themeFillTint="33"/>
          </w:tcPr>
          <w:p w14:paraId="2926E482" w14:textId="0AA9D10F" w:rsidR="00845327" w:rsidRPr="00C01835" w:rsidRDefault="000A775C" w:rsidP="00C01835">
            <w:pPr>
              <w:pStyle w:val="ESSpara"/>
              <w:numPr>
                <w:ilvl w:val="0"/>
                <w:numId w:val="0"/>
              </w:numPr>
              <w:spacing w:after="0"/>
              <w:ind w:left="-19"/>
              <w:rPr>
                <w:bCs/>
                <w:i/>
                <w:iCs/>
                <w:sz w:val="20"/>
                <w:szCs w:val="20"/>
              </w:rPr>
            </w:pPr>
            <w:r w:rsidRPr="00C01835">
              <w:rPr>
                <w:bCs/>
                <w:i/>
                <w:iCs/>
                <w:sz w:val="20"/>
                <w:szCs w:val="20"/>
              </w:rPr>
              <w:t xml:space="preserve">Footnote </w:t>
            </w:r>
            <w:r w:rsidR="008400EF" w:rsidRPr="00C01835">
              <w:rPr>
                <w:bCs/>
                <w:i/>
                <w:iCs/>
                <w:sz w:val="20"/>
                <w:szCs w:val="20"/>
              </w:rPr>
              <w:t>14.</w:t>
            </w:r>
            <w:r w:rsidR="008400EF" w:rsidRPr="00C01835">
              <w:rPr>
                <w:sz w:val="20"/>
                <w:szCs w:val="20"/>
              </w:rPr>
              <w:t xml:space="preserve"> </w:t>
            </w:r>
            <w:r w:rsidR="008400EF" w:rsidRPr="00C01835">
              <w:rPr>
                <w:bCs/>
                <w:i/>
                <w:iCs/>
                <w:sz w:val="20"/>
                <w:szCs w:val="20"/>
              </w:rPr>
              <w:t>Such personnel may include investment, legal, and credit officers, security personnel etc.</w:t>
            </w:r>
          </w:p>
        </w:tc>
      </w:tr>
      <w:tr w:rsidR="008400EF" w:rsidRPr="00C01835" w14:paraId="38567B21" w14:textId="77777777" w:rsidTr="00C01835">
        <w:tc>
          <w:tcPr>
            <w:tcW w:w="9355" w:type="dxa"/>
            <w:shd w:val="clear" w:color="auto" w:fill="E2EFD9" w:themeFill="accent6" w:themeFillTint="33"/>
          </w:tcPr>
          <w:p w14:paraId="6466018D" w14:textId="0246DBDE" w:rsidR="00845327" w:rsidRPr="00C01835" w:rsidRDefault="000A775C" w:rsidP="00C01835">
            <w:pPr>
              <w:pStyle w:val="ESSpara"/>
              <w:numPr>
                <w:ilvl w:val="0"/>
                <w:numId w:val="0"/>
              </w:numPr>
              <w:spacing w:after="0"/>
              <w:ind w:left="-19"/>
              <w:rPr>
                <w:bCs/>
                <w:i/>
                <w:iCs/>
                <w:sz w:val="20"/>
                <w:szCs w:val="20"/>
              </w:rPr>
            </w:pPr>
            <w:r w:rsidRPr="00C01835">
              <w:rPr>
                <w:bCs/>
                <w:i/>
                <w:iCs/>
                <w:sz w:val="20"/>
                <w:szCs w:val="20"/>
              </w:rPr>
              <w:t xml:space="preserve">Footnote </w:t>
            </w:r>
            <w:r w:rsidR="008400EF" w:rsidRPr="00C01835">
              <w:rPr>
                <w:bCs/>
                <w:i/>
                <w:iCs/>
                <w:sz w:val="20"/>
                <w:szCs w:val="20"/>
              </w:rPr>
              <w:t>15. Including by providing appropriate training.</w:t>
            </w:r>
            <w:r w:rsidR="008400EF" w:rsidRPr="00C01835">
              <w:rPr>
                <w:bCs/>
                <w:i/>
                <w:iCs/>
                <w:sz w:val="20"/>
                <w:szCs w:val="20"/>
                <w:vertAlign w:val="superscript"/>
              </w:rPr>
              <w:t xml:space="preserve"> </w:t>
            </w:r>
          </w:p>
        </w:tc>
      </w:tr>
    </w:tbl>
    <w:p w14:paraId="68BE72F5" w14:textId="77777777" w:rsidR="008400EF" w:rsidRPr="00C01835" w:rsidRDefault="008400EF" w:rsidP="00C01835">
      <w:pPr>
        <w:tabs>
          <w:tab w:val="left" w:pos="0"/>
        </w:tabs>
        <w:spacing w:after="0" w:line="240" w:lineRule="auto"/>
        <w:rPr>
          <w:color w:val="000000" w:themeColor="text1"/>
        </w:rPr>
      </w:pPr>
    </w:p>
    <w:tbl>
      <w:tblPr>
        <w:tblStyle w:val="TableGrid0"/>
        <w:tblW w:w="9355" w:type="dxa"/>
        <w:tblLayout w:type="fixed"/>
        <w:tblLook w:val="04A0" w:firstRow="1" w:lastRow="0" w:firstColumn="1" w:lastColumn="0" w:noHBand="0" w:noVBand="1"/>
      </w:tblPr>
      <w:tblGrid>
        <w:gridCol w:w="9355"/>
      </w:tblGrid>
      <w:tr w:rsidR="008400EF" w:rsidRPr="00C01835" w14:paraId="33C98C08" w14:textId="77777777" w:rsidTr="008400EF">
        <w:tc>
          <w:tcPr>
            <w:tcW w:w="9355" w:type="dxa"/>
            <w:shd w:val="clear" w:color="auto" w:fill="E7E6E6" w:themeFill="background2"/>
          </w:tcPr>
          <w:p w14:paraId="044A5C74" w14:textId="77777777" w:rsidR="008400EF" w:rsidRPr="00C01835" w:rsidRDefault="008400EF" w:rsidP="00C01835">
            <w:pPr>
              <w:pStyle w:val="Heading1"/>
              <w:numPr>
                <w:ilvl w:val="0"/>
                <w:numId w:val="0"/>
              </w:numPr>
              <w:spacing w:before="0" w:line="240" w:lineRule="auto"/>
              <w:jc w:val="left"/>
              <w:outlineLvl w:val="0"/>
              <w:rPr>
                <w:b w:val="0"/>
                <w:bCs w:val="0"/>
                <w:i/>
                <w:iCs/>
              </w:rPr>
            </w:pPr>
            <w:bookmarkStart w:id="8" w:name="_Toc494045545"/>
            <w:r w:rsidRPr="00C01835">
              <w:rPr>
                <w:i/>
                <w:color w:val="auto"/>
                <w:sz w:val="22"/>
                <w:szCs w:val="22"/>
              </w:rPr>
              <w:t>Monitoring and Reporting</w:t>
            </w:r>
            <w:bookmarkEnd w:id="8"/>
          </w:p>
        </w:tc>
      </w:tr>
    </w:tbl>
    <w:p w14:paraId="560DEA18" w14:textId="77777777" w:rsidR="008400EF" w:rsidRPr="00C01835" w:rsidRDefault="008400EF" w:rsidP="00C01835">
      <w:pPr>
        <w:tabs>
          <w:tab w:val="left" w:pos="0"/>
        </w:tabs>
        <w:spacing w:after="0" w:line="240" w:lineRule="auto"/>
        <w:rPr>
          <w:color w:val="000000" w:themeColor="text1"/>
        </w:rPr>
      </w:pPr>
    </w:p>
    <w:tbl>
      <w:tblPr>
        <w:tblStyle w:val="TableGrid0"/>
        <w:tblW w:w="9355" w:type="dxa"/>
        <w:shd w:val="clear" w:color="auto" w:fill="E2EFD9" w:themeFill="accent6" w:themeFillTint="33"/>
        <w:tblLayout w:type="fixed"/>
        <w:tblLook w:val="04A0" w:firstRow="1" w:lastRow="0" w:firstColumn="1" w:lastColumn="0" w:noHBand="0" w:noVBand="1"/>
      </w:tblPr>
      <w:tblGrid>
        <w:gridCol w:w="9355"/>
      </w:tblGrid>
      <w:tr w:rsidR="008400EF" w:rsidRPr="00C01835" w14:paraId="4E09BFDF" w14:textId="77777777" w:rsidTr="00C01835">
        <w:tc>
          <w:tcPr>
            <w:tcW w:w="9355" w:type="dxa"/>
            <w:shd w:val="clear" w:color="auto" w:fill="E2EFD9" w:themeFill="accent6" w:themeFillTint="33"/>
          </w:tcPr>
          <w:p w14:paraId="6EDA76BA" w14:textId="61A3EACC" w:rsidR="00845327" w:rsidRPr="00C01835" w:rsidRDefault="008400EF" w:rsidP="007C49E7">
            <w:pPr>
              <w:pStyle w:val="ESSpara"/>
              <w:numPr>
                <w:ilvl w:val="0"/>
                <w:numId w:val="13"/>
              </w:numPr>
              <w:spacing w:after="0"/>
              <w:ind w:left="-19" w:firstLine="0"/>
              <w:rPr>
                <w:bCs/>
                <w:i/>
                <w:iCs/>
                <w:sz w:val="20"/>
                <w:szCs w:val="20"/>
              </w:rPr>
            </w:pPr>
            <w:r w:rsidRPr="00C01835">
              <w:rPr>
                <w:bCs/>
                <w:i/>
                <w:iCs/>
                <w:sz w:val="20"/>
                <w:szCs w:val="20"/>
              </w:rPr>
              <w:t>The FI will monitor the environmental and social performance of the FI subprojects in a manner proportionate to the risks and impacts of the FI subprojects, and provide regular progress reports to the FI’s senior management. This will include periodic review of the effectiveness of the FI’s ESMS.</w:t>
            </w:r>
          </w:p>
        </w:tc>
      </w:tr>
    </w:tbl>
    <w:p w14:paraId="6712A30E" w14:textId="77777777" w:rsidR="008400EF" w:rsidRPr="00C01835" w:rsidRDefault="008400EF" w:rsidP="00C01835">
      <w:pPr>
        <w:tabs>
          <w:tab w:val="left" w:pos="0"/>
        </w:tabs>
        <w:spacing w:after="0" w:line="240" w:lineRule="auto"/>
        <w:rPr>
          <w:color w:val="000000" w:themeColor="text1"/>
        </w:rPr>
      </w:pPr>
    </w:p>
    <w:p w14:paraId="51063025" w14:textId="183A1943" w:rsidR="008400EF" w:rsidRPr="00C01835" w:rsidRDefault="008400EF" w:rsidP="00C01835">
      <w:pPr>
        <w:tabs>
          <w:tab w:val="left" w:pos="0"/>
        </w:tabs>
        <w:spacing w:after="0" w:line="240" w:lineRule="auto"/>
        <w:rPr>
          <w:rFonts w:cstheme="minorHAnsi"/>
          <w:color w:val="000000" w:themeColor="text1"/>
        </w:rPr>
      </w:pPr>
      <w:r w:rsidRPr="00C01835">
        <w:rPr>
          <w:b/>
          <w:color w:val="000000" w:themeColor="text1"/>
        </w:rPr>
        <w:t>GN21.1.</w:t>
      </w:r>
      <w:r w:rsidRPr="00C01835">
        <w:rPr>
          <w:color w:val="000000" w:themeColor="text1"/>
        </w:rPr>
        <w:t xml:space="preserve"> As part of </w:t>
      </w:r>
      <w:r w:rsidR="008F5F89">
        <w:rPr>
          <w:color w:val="000000" w:themeColor="text1"/>
        </w:rPr>
        <w:t xml:space="preserve">its </w:t>
      </w:r>
      <w:r w:rsidR="00420688" w:rsidRPr="00C01835">
        <w:rPr>
          <w:color w:val="000000" w:themeColor="text1"/>
        </w:rPr>
        <w:t>ESMS, the</w:t>
      </w:r>
      <w:r w:rsidR="00D721C3" w:rsidRPr="00C01835">
        <w:rPr>
          <w:color w:val="000000" w:themeColor="text1"/>
        </w:rPr>
        <w:t xml:space="preserve"> </w:t>
      </w:r>
      <w:r w:rsidR="005F5FDC">
        <w:rPr>
          <w:color w:val="000000" w:themeColor="text1"/>
        </w:rPr>
        <w:t xml:space="preserve">Responsible </w:t>
      </w:r>
      <w:r w:rsidR="00D721C3" w:rsidRPr="00C01835">
        <w:rPr>
          <w:color w:val="000000" w:themeColor="text1"/>
        </w:rPr>
        <w:t xml:space="preserve">FI </w:t>
      </w:r>
      <w:r w:rsidRPr="00C01835">
        <w:rPr>
          <w:color w:val="000000" w:themeColor="text1"/>
        </w:rPr>
        <w:t>develop</w:t>
      </w:r>
      <w:r w:rsidR="00B0376A" w:rsidRPr="00C01835">
        <w:rPr>
          <w:color w:val="000000" w:themeColor="text1"/>
        </w:rPr>
        <w:t>s</w:t>
      </w:r>
      <w:r w:rsidRPr="00C01835">
        <w:rPr>
          <w:color w:val="000000" w:themeColor="text1"/>
        </w:rPr>
        <w:t xml:space="preserve"> a written procedure detailing how performance monitoring </w:t>
      </w:r>
      <w:r w:rsidR="008F5F89">
        <w:rPr>
          <w:color w:val="000000" w:themeColor="text1"/>
        </w:rPr>
        <w:t xml:space="preserve">is </w:t>
      </w:r>
      <w:r w:rsidRPr="00C01835">
        <w:rPr>
          <w:color w:val="000000" w:themeColor="text1"/>
        </w:rPr>
        <w:t xml:space="preserve">conducted. </w:t>
      </w:r>
      <w:r w:rsidR="0021046E" w:rsidRPr="00C01835">
        <w:rPr>
          <w:color w:val="000000" w:themeColor="text1"/>
        </w:rPr>
        <w:t>Th</w:t>
      </w:r>
      <w:r w:rsidR="008F5F89">
        <w:rPr>
          <w:color w:val="000000" w:themeColor="text1"/>
        </w:rPr>
        <w:t>is</w:t>
      </w:r>
      <w:r w:rsidR="0021046E" w:rsidRPr="00C01835">
        <w:rPr>
          <w:color w:val="000000" w:themeColor="text1"/>
        </w:rPr>
        <w:t xml:space="preserve"> monitoring </w:t>
      </w:r>
      <w:r w:rsidR="008F5F89">
        <w:rPr>
          <w:color w:val="000000" w:themeColor="text1"/>
        </w:rPr>
        <w:t xml:space="preserve">is </w:t>
      </w:r>
      <w:r w:rsidR="0021046E" w:rsidRPr="00C01835">
        <w:rPr>
          <w:color w:val="000000" w:themeColor="text1"/>
        </w:rPr>
        <w:t>proportionate to the environmental and social risks and impacts of the FI subprojects</w:t>
      </w:r>
      <w:r w:rsidR="00381752">
        <w:rPr>
          <w:color w:val="000000" w:themeColor="text1"/>
        </w:rPr>
        <w:t>.</w:t>
      </w:r>
      <w:r w:rsidR="008F5F89">
        <w:rPr>
          <w:color w:val="000000" w:themeColor="text1"/>
        </w:rPr>
        <w:t xml:space="preserve"> </w:t>
      </w:r>
      <w:r w:rsidR="005F5FDC">
        <w:rPr>
          <w:rFonts w:cstheme="minorHAnsi"/>
        </w:rPr>
        <w:t>M</w:t>
      </w:r>
      <w:r w:rsidR="00D27A42" w:rsidRPr="00C01835">
        <w:rPr>
          <w:rFonts w:cstheme="minorHAnsi"/>
        </w:rPr>
        <w:t xml:space="preserve">onitoring and reporting </w:t>
      </w:r>
      <w:r w:rsidR="005F5FDC">
        <w:rPr>
          <w:rFonts w:cstheme="minorHAnsi"/>
        </w:rPr>
        <w:t>is</w:t>
      </w:r>
      <w:r w:rsidR="00381752">
        <w:rPr>
          <w:rFonts w:cstheme="minorHAnsi"/>
        </w:rPr>
        <w:t xml:space="preserve"> conducted </w:t>
      </w:r>
      <w:r w:rsidR="00D27A42" w:rsidRPr="00C01835">
        <w:rPr>
          <w:rFonts w:cstheme="minorHAnsi"/>
        </w:rPr>
        <w:t xml:space="preserve">on a regular basis. </w:t>
      </w:r>
    </w:p>
    <w:p w14:paraId="7571D008" w14:textId="77777777" w:rsidR="008400EF" w:rsidRPr="00C01835" w:rsidRDefault="008400EF" w:rsidP="00C01835">
      <w:pPr>
        <w:autoSpaceDE w:val="0"/>
        <w:autoSpaceDN w:val="0"/>
        <w:adjustRightInd w:val="0"/>
        <w:spacing w:after="0" w:line="240" w:lineRule="auto"/>
        <w:rPr>
          <w:color w:val="000000" w:themeColor="text1"/>
        </w:rPr>
      </w:pPr>
    </w:p>
    <w:p w14:paraId="2A46C5E2" w14:textId="646F5F81" w:rsidR="008400EF" w:rsidRPr="00C01835" w:rsidRDefault="008400EF" w:rsidP="00C01835">
      <w:pPr>
        <w:autoSpaceDE w:val="0"/>
        <w:autoSpaceDN w:val="0"/>
        <w:adjustRightInd w:val="0"/>
        <w:spacing w:after="0" w:line="240" w:lineRule="auto"/>
        <w:rPr>
          <w:color w:val="000000" w:themeColor="text1"/>
        </w:rPr>
      </w:pPr>
      <w:r w:rsidRPr="00C01835">
        <w:rPr>
          <w:b/>
          <w:color w:val="000000" w:themeColor="text1"/>
        </w:rPr>
        <w:lastRenderedPageBreak/>
        <w:t>GN21.</w:t>
      </w:r>
      <w:r w:rsidR="0096500A" w:rsidRPr="00C01835">
        <w:rPr>
          <w:b/>
          <w:color w:val="000000" w:themeColor="text1"/>
        </w:rPr>
        <w:t>2</w:t>
      </w:r>
      <w:r w:rsidRPr="00C01835">
        <w:rPr>
          <w:b/>
          <w:color w:val="000000" w:themeColor="text1"/>
        </w:rPr>
        <w:t>.</w:t>
      </w:r>
      <w:r w:rsidRPr="00C01835">
        <w:rPr>
          <w:color w:val="000000" w:themeColor="text1"/>
        </w:rPr>
        <w:t xml:space="preserve"> </w:t>
      </w:r>
      <w:r w:rsidR="00A575B7" w:rsidRPr="00C01835">
        <w:rPr>
          <w:color w:val="000000" w:themeColor="text1"/>
        </w:rPr>
        <w:t xml:space="preserve">The frequency and method of monitoring </w:t>
      </w:r>
      <w:r w:rsidR="00412208">
        <w:rPr>
          <w:color w:val="000000" w:themeColor="text1"/>
        </w:rPr>
        <w:t xml:space="preserve">of FI subprojects </w:t>
      </w:r>
      <w:r w:rsidR="00A575B7" w:rsidRPr="00C01835">
        <w:rPr>
          <w:color w:val="000000" w:themeColor="text1"/>
        </w:rPr>
        <w:t>depends upon the risk level</w:t>
      </w:r>
      <w:r w:rsidR="00412208">
        <w:rPr>
          <w:color w:val="000000" w:themeColor="text1"/>
        </w:rPr>
        <w:t>s</w:t>
      </w:r>
      <w:r w:rsidR="00A575B7" w:rsidRPr="00C01835">
        <w:rPr>
          <w:color w:val="000000" w:themeColor="text1"/>
        </w:rPr>
        <w:t xml:space="preserve"> and performance of the </w:t>
      </w:r>
      <w:r w:rsidR="00412208">
        <w:rPr>
          <w:color w:val="000000" w:themeColor="text1"/>
        </w:rPr>
        <w:t xml:space="preserve">FI </w:t>
      </w:r>
      <w:r w:rsidR="00A575B7" w:rsidRPr="00C01835">
        <w:rPr>
          <w:color w:val="000000" w:themeColor="text1"/>
        </w:rPr>
        <w:t>subproject</w:t>
      </w:r>
      <w:r w:rsidR="00412208">
        <w:rPr>
          <w:color w:val="000000" w:themeColor="text1"/>
        </w:rPr>
        <w:t>s</w:t>
      </w:r>
      <w:r w:rsidR="00A575B7" w:rsidRPr="00C01835">
        <w:rPr>
          <w:color w:val="000000" w:themeColor="text1"/>
        </w:rPr>
        <w:t xml:space="preserve">. </w:t>
      </w:r>
      <w:r w:rsidR="00412208">
        <w:rPr>
          <w:color w:val="000000" w:themeColor="text1"/>
        </w:rPr>
        <w:t>M</w:t>
      </w:r>
      <w:r w:rsidR="00A575B7" w:rsidRPr="00C01835">
        <w:rPr>
          <w:color w:val="000000" w:themeColor="text1"/>
        </w:rPr>
        <w:t>onitoring outcomes and identified corrective actions</w:t>
      </w:r>
      <w:r w:rsidR="00412208">
        <w:rPr>
          <w:color w:val="000000" w:themeColor="text1"/>
        </w:rPr>
        <w:t xml:space="preserve"> should be documented. The Responsible FI </w:t>
      </w:r>
      <w:r w:rsidR="00A575B7" w:rsidRPr="00C01835">
        <w:rPr>
          <w:color w:val="000000" w:themeColor="text1"/>
        </w:rPr>
        <w:t>work</w:t>
      </w:r>
      <w:r w:rsidR="00412208">
        <w:rPr>
          <w:color w:val="000000" w:themeColor="text1"/>
        </w:rPr>
        <w:t>s</w:t>
      </w:r>
      <w:r w:rsidR="00A575B7" w:rsidRPr="00C01835">
        <w:rPr>
          <w:color w:val="000000" w:themeColor="text1"/>
        </w:rPr>
        <w:t xml:space="preserve"> with the </w:t>
      </w:r>
      <w:r w:rsidR="00412208">
        <w:rPr>
          <w:color w:val="000000" w:themeColor="text1"/>
        </w:rPr>
        <w:t xml:space="preserve">FI </w:t>
      </w:r>
      <w:r w:rsidR="00A575B7" w:rsidRPr="00C01835">
        <w:rPr>
          <w:color w:val="000000" w:themeColor="text1"/>
        </w:rPr>
        <w:t xml:space="preserve">subproject </w:t>
      </w:r>
      <w:r w:rsidR="00412208">
        <w:rPr>
          <w:color w:val="000000" w:themeColor="text1"/>
        </w:rPr>
        <w:t xml:space="preserve">to </w:t>
      </w:r>
      <w:r w:rsidR="00AC360F">
        <w:rPr>
          <w:color w:val="000000" w:themeColor="text1"/>
        </w:rPr>
        <w:t xml:space="preserve">ensure </w:t>
      </w:r>
      <w:r w:rsidR="00A575B7" w:rsidRPr="00C01835">
        <w:rPr>
          <w:color w:val="000000" w:themeColor="text1"/>
        </w:rPr>
        <w:t>corrective actions</w:t>
      </w:r>
      <w:r w:rsidR="00AC360F">
        <w:rPr>
          <w:color w:val="000000" w:themeColor="text1"/>
        </w:rPr>
        <w:t xml:space="preserve"> are implemented</w:t>
      </w:r>
      <w:r w:rsidR="00412208">
        <w:rPr>
          <w:color w:val="000000" w:themeColor="text1"/>
        </w:rPr>
        <w:t>.</w:t>
      </w:r>
    </w:p>
    <w:p w14:paraId="7822360E" w14:textId="77777777" w:rsidR="008400EF" w:rsidRPr="00C01835" w:rsidRDefault="008400EF" w:rsidP="00C01835">
      <w:pPr>
        <w:tabs>
          <w:tab w:val="left" w:pos="0"/>
        </w:tabs>
        <w:spacing w:after="0" w:line="240" w:lineRule="auto"/>
        <w:rPr>
          <w:color w:val="000000" w:themeColor="text1"/>
        </w:rPr>
      </w:pPr>
    </w:p>
    <w:p w14:paraId="49673C1A" w14:textId="2457FE03" w:rsidR="008400EF" w:rsidRPr="00C01835" w:rsidRDefault="000E21B6" w:rsidP="00FF659D">
      <w:pPr>
        <w:tabs>
          <w:tab w:val="left" w:pos="180"/>
        </w:tabs>
        <w:spacing w:after="0" w:line="240" w:lineRule="auto"/>
        <w:rPr>
          <w:color w:val="000000" w:themeColor="text1"/>
        </w:rPr>
      </w:pPr>
      <w:r w:rsidRPr="000E21B6">
        <w:rPr>
          <w:b/>
          <w:color w:val="000000" w:themeColor="text1"/>
        </w:rPr>
        <w:t xml:space="preserve">GN21.3. </w:t>
      </w:r>
      <w:r w:rsidR="008400EF" w:rsidRPr="000E21B6">
        <w:rPr>
          <w:color w:val="000000" w:themeColor="text1"/>
        </w:rPr>
        <w:t xml:space="preserve">The ESMS </w:t>
      </w:r>
      <w:r w:rsidR="00381752" w:rsidRPr="000E21B6">
        <w:rPr>
          <w:color w:val="000000" w:themeColor="text1"/>
        </w:rPr>
        <w:t xml:space="preserve">is </w:t>
      </w:r>
      <w:r w:rsidR="008400EF" w:rsidRPr="000E21B6">
        <w:rPr>
          <w:color w:val="000000" w:themeColor="text1"/>
        </w:rPr>
        <w:t xml:space="preserve">reviewed periodically </w:t>
      </w:r>
      <w:r w:rsidR="00125814">
        <w:rPr>
          <w:color w:val="000000" w:themeColor="text1"/>
        </w:rPr>
        <w:t xml:space="preserve">by the Responsible FI </w:t>
      </w:r>
      <w:r w:rsidR="008400EF" w:rsidRPr="000E21B6">
        <w:rPr>
          <w:color w:val="000000" w:themeColor="text1"/>
        </w:rPr>
        <w:t xml:space="preserve">to </w:t>
      </w:r>
      <w:r w:rsidR="00AE1C67">
        <w:rPr>
          <w:color w:val="000000" w:themeColor="text1"/>
        </w:rPr>
        <w:t xml:space="preserve">assess the effectiveness, and </w:t>
      </w:r>
      <w:r w:rsidR="00381752" w:rsidRPr="000E21B6">
        <w:rPr>
          <w:color w:val="000000" w:themeColor="text1"/>
        </w:rPr>
        <w:t xml:space="preserve">determine whether </w:t>
      </w:r>
      <w:r w:rsidR="008400EF" w:rsidRPr="000E21B6">
        <w:rPr>
          <w:color w:val="000000" w:themeColor="text1"/>
        </w:rPr>
        <w:t xml:space="preserve">changes are needed. </w:t>
      </w:r>
      <w:r w:rsidR="0052450F">
        <w:rPr>
          <w:color w:val="000000" w:themeColor="text1"/>
        </w:rPr>
        <w:t>T</w:t>
      </w:r>
      <w:r w:rsidR="008400EF" w:rsidRPr="000E21B6">
        <w:rPr>
          <w:color w:val="000000" w:themeColor="text1"/>
        </w:rPr>
        <w:t xml:space="preserve">he </w:t>
      </w:r>
      <w:r w:rsidR="006D674B" w:rsidRPr="000E21B6">
        <w:rPr>
          <w:color w:val="000000" w:themeColor="text1"/>
        </w:rPr>
        <w:t xml:space="preserve">review of the </w:t>
      </w:r>
      <w:r w:rsidR="008400EF" w:rsidRPr="000E21B6">
        <w:rPr>
          <w:color w:val="000000" w:themeColor="text1"/>
        </w:rPr>
        <w:t xml:space="preserve">ESMS </w:t>
      </w:r>
      <w:r w:rsidR="0044385B" w:rsidRPr="000E21B6">
        <w:rPr>
          <w:color w:val="000000" w:themeColor="text1"/>
        </w:rPr>
        <w:t xml:space="preserve">is expected to </w:t>
      </w:r>
      <w:r w:rsidR="008400EF" w:rsidRPr="000E21B6">
        <w:rPr>
          <w:color w:val="000000" w:themeColor="text1"/>
        </w:rPr>
        <w:t>evaluate the FI</w:t>
      </w:r>
      <w:r w:rsidR="00381752" w:rsidRPr="000E21B6">
        <w:rPr>
          <w:color w:val="000000" w:themeColor="text1"/>
        </w:rPr>
        <w:t>’s</w:t>
      </w:r>
      <w:r w:rsidR="008400EF" w:rsidRPr="000E21B6">
        <w:rPr>
          <w:color w:val="000000" w:themeColor="text1"/>
        </w:rPr>
        <w:t xml:space="preserve"> implement</w:t>
      </w:r>
      <w:r w:rsidR="00381752" w:rsidRPr="000E21B6">
        <w:rPr>
          <w:color w:val="000000" w:themeColor="text1"/>
        </w:rPr>
        <w:t xml:space="preserve">ation of its </w:t>
      </w:r>
      <w:r w:rsidR="008400EF" w:rsidRPr="000E21B6">
        <w:rPr>
          <w:color w:val="000000" w:themeColor="text1"/>
        </w:rPr>
        <w:t>own environmental and social policy</w:t>
      </w:r>
      <w:r w:rsidR="00D76898" w:rsidRPr="000E21B6">
        <w:rPr>
          <w:color w:val="000000" w:themeColor="text1"/>
        </w:rPr>
        <w:t xml:space="preserve"> </w:t>
      </w:r>
      <w:r w:rsidR="0052450F">
        <w:rPr>
          <w:color w:val="000000" w:themeColor="text1"/>
        </w:rPr>
        <w:t xml:space="preserve">as referenced in Paragraph 14, </w:t>
      </w:r>
      <w:r w:rsidR="00D76898" w:rsidRPr="000E21B6">
        <w:rPr>
          <w:color w:val="000000" w:themeColor="text1"/>
        </w:rPr>
        <w:t>and</w:t>
      </w:r>
      <w:r w:rsidR="008400EF" w:rsidRPr="000E21B6">
        <w:rPr>
          <w:color w:val="000000" w:themeColor="text1"/>
        </w:rPr>
        <w:t xml:space="preserve"> how environmental and social procedures have been </w:t>
      </w:r>
      <w:r w:rsidR="00470E9B">
        <w:rPr>
          <w:color w:val="000000" w:themeColor="text1"/>
        </w:rPr>
        <w:t>implemented with respect to FI subprojects</w:t>
      </w:r>
      <w:r w:rsidR="008400EF" w:rsidRPr="00C01835">
        <w:rPr>
          <w:color w:val="000000" w:themeColor="text1"/>
        </w:rPr>
        <w:t xml:space="preserve"> </w:t>
      </w:r>
    </w:p>
    <w:p w14:paraId="18797F99" w14:textId="77777777" w:rsidR="008400EF" w:rsidRPr="00C01835" w:rsidRDefault="008400EF" w:rsidP="00C01835">
      <w:pPr>
        <w:pStyle w:val="ListParagraph"/>
        <w:tabs>
          <w:tab w:val="left" w:pos="180"/>
        </w:tabs>
        <w:spacing w:after="0" w:line="240" w:lineRule="auto"/>
        <w:contextualSpacing w:val="0"/>
        <w:rPr>
          <w:color w:val="000000" w:themeColor="text1"/>
        </w:rPr>
      </w:pPr>
    </w:p>
    <w:tbl>
      <w:tblPr>
        <w:tblStyle w:val="TableGrid0"/>
        <w:tblW w:w="9355" w:type="dxa"/>
        <w:tblLayout w:type="fixed"/>
        <w:tblLook w:val="04A0" w:firstRow="1" w:lastRow="0" w:firstColumn="1" w:lastColumn="0" w:noHBand="0" w:noVBand="1"/>
      </w:tblPr>
      <w:tblGrid>
        <w:gridCol w:w="9355"/>
      </w:tblGrid>
      <w:tr w:rsidR="008400EF" w:rsidRPr="00C01835" w14:paraId="5E3626BB" w14:textId="77777777" w:rsidTr="00C01835">
        <w:tc>
          <w:tcPr>
            <w:tcW w:w="9355" w:type="dxa"/>
            <w:shd w:val="clear" w:color="auto" w:fill="E2EFD9" w:themeFill="accent6" w:themeFillTint="33"/>
          </w:tcPr>
          <w:p w14:paraId="7C081C64" w14:textId="4C912971" w:rsidR="00845327" w:rsidRPr="00C01835" w:rsidRDefault="008400EF" w:rsidP="007C49E7">
            <w:pPr>
              <w:pStyle w:val="ESSpara"/>
              <w:numPr>
                <w:ilvl w:val="0"/>
                <w:numId w:val="13"/>
              </w:numPr>
              <w:spacing w:after="0"/>
              <w:ind w:left="-19" w:firstLine="0"/>
              <w:rPr>
                <w:bCs/>
                <w:i/>
                <w:iCs/>
                <w:sz w:val="20"/>
                <w:szCs w:val="20"/>
              </w:rPr>
            </w:pPr>
            <w:r w:rsidRPr="00C01835">
              <w:rPr>
                <w:bCs/>
                <w:i/>
                <w:iCs/>
                <w:sz w:val="20"/>
                <w:szCs w:val="20"/>
              </w:rPr>
              <w:t>The FI will promptly notify the Bank of any significant accidents or incidents associated with FI subprojects. If the risk profile of an FI subproject increases significantly, the FI will notify the Bank and will apply relevant requirements of the ESSs in a manner agreed with the Bank, as set out in the ESMS. The FI will monitor the measures and actions agreed, and report to the Bank as appropriate.</w:t>
            </w:r>
          </w:p>
        </w:tc>
      </w:tr>
    </w:tbl>
    <w:p w14:paraId="5E78BE41" w14:textId="77777777" w:rsidR="008400EF" w:rsidRPr="00C01835" w:rsidRDefault="008400EF" w:rsidP="00C01835">
      <w:pPr>
        <w:tabs>
          <w:tab w:val="left" w:pos="0"/>
        </w:tabs>
        <w:spacing w:after="0" w:line="240" w:lineRule="auto"/>
        <w:rPr>
          <w:color w:val="000000" w:themeColor="text1"/>
        </w:rPr>
      </w:pPr>
    </w:p>
    <w:p w14:paraId="5927BA26" w14:textId="64CA9BCA" w:rsidR="008400EF" w:rsidRPr="00C01835" w:rsidRDefault="008400EF" w:rsidP="00C01835">
      <w:pPr>
        <w:tabs>
          <w:tab w:val="left" w:pos="0"/>
        </w:tabs>
        <w:spacing w:after="0" w:line="240" w:lineRule="auto"/>
        <w:rPr>
          <w:color w:val="000000" w:themeColor="text1"/>
        </w:rPr>
      </w:pPr>
      <w:r w:rsidRPr="00C01835">
        <w:rPr>
          <w:b/>
          <w:color w:val="000000" w:themeColor="text1"/>
        </w:rPr>
        <w:t>GN22.1.</w:t>
      </w:r>
      <w:r w:rsidRPr="00C01835">
        <w:rPr>
          <w:color w:val="000000" w:themeColor="text1"/>
        </w:rPr>
        <w:t xml:space="preserve"> </w:t>
      </w:r>
      <w:r w:rsidR="00284F91">
        <w:rPr>
          <w:color w:val="000000" w:themeColor="text1"/>
        </w:rPr>
        <w:t xml:space="preserve">The notification of any significant accidents or incidents </w:t>
      </w:r>
      <w:r w:rsidR="009F233B">
        <w:rPr>
          <w:color w:val="000000" w:themeColor="text1"/>
        </w:rPr>
        <w:t xml:space="preserve">to the World Bank </w:t>
      </w:r>
      <w:r w:rsidR="00284F91">
        <w:rPr>
          <w:color w:val="000000" w:themeColor="text1"/>
        </w:rPr>
        <w:t xml:space="preserve">may be provided directly </w:t>
      </w:r>
      <w:r w:rsidR="00F36EDC">
        <w:rPr>
          <w:color w:val="000000" w:themeColor="text1"/>
        </w:rPr>
        <w:t xml:space="preserve">by the Responsible FI to </w:t>
      </w:r>
      <w:r w:rsidR="00B42C60" w:rsidRPr="00C01835">
        <w:rPr>
          <w:color w:val="000000" w:themeColor="text1"/>
        </w:rPr>
        <w:t>t</w:t>
      </w:r>
      <w:r w:rsidR="00C80AE7" w:rsidRPr="00C01835">
        <w:rPr>
          <w:color w:val="000000" w:themeColor="text1"/>
        </w:rPr>
        <w:t xml:space="preserve">he </w:t>
      </w:r>
      <w:r w:rsidR="00D76898">
        <w:rPr>
          <w:color w:val="000000" w:themeColor="text1"/>
        </w:rPr>
        <w:t xml:space="preserve">World </w:t>
      </w:r>
      <w:r w:rsidRPr="00C01835">
        <w:rPr>
          <w:color w:val="000000" w:themeColor="text1"/>
        </w:rPr>
        <w:t xml:space="preserve">Bank </w:t>
      </w:r>
      <w:r w:rsidR="00284F91">
        <w:rPr>
          <w:color w:val="000000" w:themeColor="text1"/>
        </w:rPr>
        <w:t>or through the Borrower.</w:t>
      </w:r>
      <w:r w:rsidR="00C10B9B" w:rsidRPr="00C01835">
        <w:rPr>
          <w:color w:val="000000" w:themeColor="text1"/>
        </w:rPr>
        <w:t xml:space="preserve"> </w:t>
      </w:r>
    </w:p>
    <w:p w14:paraId="641D2B47" w14:textId="77777777" w:rsidR="008400EF" w:rsidRPr="00C01835" w:rsidRDefault="008400EF" w:rsidP="00C01835">
      <w:pPr>
        <w:tabs>
          <w:tab w:val="left" w:pos="0"/>
        </w:tabs>
        <w:spacing w:after="0" w:line="240" w:lineRule="auto"/>
        <w:rPr>
          <w:color w:val="000000" w:themeColor="text1"/>
        </w:rPr>
      </w:pPr>
    </w:p>
    <w:tbl>
      <w:tblPr>
        <w:tblStyle w:val="TableGrid0"/>
        <w:tblW w:w="9355" w:type="dxa"/>
        <w:tblLayout w:type="fixed"/>
        <w:tblLook w:val="04A0" w:firstRow="1" w:lastRow="0" w:firstColumn="1" w:lastColumn="0" w:noHBand="0" w:noVBand="1"/>
      </w:tblPr>
      <w:tblGrid>
        <w:gridCol w:w="9355"/>
      </w:tblGrid>
      <w:tr w:rsidR="008400EF" w:rsidRPr="00C01835" w14:paraId="48800290" w14:textId="77777777" w:rsidTr="00C01835">
        <w:tc>
          <w:tcPr>
            <w:tcW w:w="9355" w:type="dxa"/>
            <w:shd w:val="clear" w:color="auto" w:fill="E2EFD9" w:themeFill="accent6" w:themeFillTint="33"/>
          </w:tcPr>
          <w:p w14:paraId="0D27BCBB" w14:textId="7B5B2A35" w:rsidR="00845327" w:rsidRPr="00C01835" w:rsidRDefault="008400EF" w:rsidP="007C49E7">
            <w:pPr>
              <w:pStyle w:val="ESSpara"/>
              <w:numPr>
                <w:ilvl w:val="0"/>
                <w:numId w:val="13"/>
              </w:numPr>
              <w:spacing w:after="0"/>
              <w:ind w:left="-19" w:firstLine="0"/>
              <w:rPr>
                <w:bCs/>
                <w:i/>
                <w:iCs/>
                <w:sz w:val="20"/>
                <w:szCs w:val="20"/>
              </w:rPr>
            </w:pPr>
            <w:r w:rsidRPr="00C01835">
              <w:rPr>
                <w:bCs/>
                <w:i/>
                <w:iCs/>
                <w:sz w:val="20"/>
                <w:szCs w:val="20"/>
              </w:rPr>
              <w:t>The FI will submit to the Bank Annual Environmental and Social Reports on the implementation of its ESMS, including its environmental and social procedures, this ESS and ESS2, as well as the environmental and social performance of its portfolio of FI subprojects. The annual report will include details of how the requirements of this ESS are being met, the nature of the FI subprojects financed through the project, and the overall portfolio risk, profiled by sector.</w:t>
            </w:r>
          </w:p>
        </w:tc>
      </w:tr>
    </w:tbl>
    <w:p w14:paraId="71EF23BA" w14:textId="77777777" w:rsidR="008400EF" w:rsidRPr="00C01835" w:rsidRDefault="008400EF" w:rsidP="00C01835">
      <w:pPr>
        <w:tabs>
          <w:tab w:val="left" w:pos="0"/>
        </w:tabs>
        <w:spacing w:after="0" w:line="240" w:lineRule="auto"/>
        <w:rPr>
          <w:color w:val="000000" w:themeColor="text1"/>
        </w:rPr>
      </w:pPr>
    </w:p>
    <w:p w14:paraId="7E3A9977" w14:textId="06AE2828" w:rsidR="008400EF" w:rsidRPr="00C01835" w:rsidRDefault="008400EF" w:rsidP="00C01835">
      <w:pPr>
        <w:tabs>
          <w:tab w:val="left" w:pos="0"/>
        </w:tabs>
        <w:spacing w:after="0" w:line="240" w:lineRule="auto"/>
      </w:pPr>
      <w:r w:rsidRPr="00C01835">
        <w:rPr>
          <w:b/>
          <w:color w:val="000000" w:themeColor="text1"/>
        </w:rPr>
        <w:t>GN23.1.</w:t>
      </w:r>
      <w:r w:rsidRPr="00C01835">
        <w:rPr>
          <w:color w:val="000000" w:themeColor="text1"/>
        </w:rPr>
        <w:t xml:space="preserve"> </w:t>
      </w:r>
      <w:r w:rsidRPr="00C01835">
        <w:t xml:space="preserve">Depending on the level of risk of a </w:t>
      </w:r>
      <w:r w:rsidR="00D21327" w:rsidRPr="00C01835">
        <w:t>sub</w:t>
      </w:r>
      <w:r w:rsidRPr="00C01835">
        <w:t xml:space="preserve">project, reporting </w:t>
      </w:r>
      <w:r w:rsidR="00207186">
        <w:t xml:space="preserve">may be required </w:t>
      </w:r>
      <w:r w:rsidRPr="00C01835">
        <w:t>more frequent</w:t>
      </w:r>
      <w:r w:rsidR="0044385B" w:rsidRPr="00C01835">
        <w:t>ly</w:t>
      </w:r>
      <w:r w:rsidRPr="00C01835">
        <w:t xml:space="preserve"> </w:t>
      </w:r>
      <w:r w:rsidR="00D21327" w:rsidRPr="00C01835">
        <w:t xml:space="preserve">than annually. </w:t>
      </w:r>
    </w:p>
    <w:p w14:paraId="291E7706" w14:textId="77777777" w:rsidR="008400EF" w:rsidRPr="00C01835" w:rsidRDefault="008400EF" w:rsidP="00C01835">
      <w:pPr>
        <w:tabs>
          <w:tab w:val="left" w:pos="0"/>
        </w:tabs>
        <w:spacing w:after="0" w:line="240" w:lineRule="auto"/>
      </w:pPr>
    </w:p>
    <w:tbl>
      <w:tblPr>
        <w:tblStyle w:val="TableGrid0"/>
        <w:tblW w:w="9355" w:type="dxa"/>
        <w:tblLayout w:type="fixed"/>
        <w:tblLook w:val="04A0" w:firstRow="1" w:lastRow="0" w:firstColumn="1" w:lastColumn="0" w:noHBand="0" w:noVBand="1"/>
      </w:tblPr>
      <w:tblGrid>
        <w:gridCol w:w="9355"/>
      </w:tblGrid>
      <w:tr w:rsidR="008400EF" w:rsidRPr="00C01835" w14:paraId="05536E88" w14:textId="77777777" w:rsidTr="008400EF">
        <w:tc>
          <w:tcPr>
            <w:tcW w:w="9355" w:type="dxa"/>
            <w:shd w:val="clear" w:color="auto" w:fill="E7E6E6" w:themeFill="background2"/>
          </w:tcPr>
          <w:p w14:paraId="10C8E059" w14:textId="77777777" w:rsidR="008400EF" w:rsidRPr="00C01835" w:rsidRDefault="008400EF" w:rsidP="00C01835">
            <w:pPr>
              <w:pStyle w:val="Heading1"/>
              <w:numPr>
                <w:ilvl w:val="0"/>
                <w:numId w:val="0"/>
              </w:numPr>
              <w:spacing w:before="0" w:line="240" w:lineRule="auto"/>
              <w:jc w:val="left"/>
              <w:outlineLvl w:val="0"/>
              <w:rPr>
                <w:b w:val="0"/>
                <w:bCs w:val="0"/>
                <w:i/>
                <w:iCs/>
              </w:rPr>
            </w:pPr>
            <w:bookmarkStart w:id="9" w:name="_Toc494045546"/>
            <w:r w:rsidRPr="00C01835">
              <w:rPr>
                <w:i/>
                <w:color w:val="auto"/>
                <w:sz w:val="22"/>
                <w:szCs w:val="22"/>
              </w:rPr>
              <w:t>B. Stakeholder Engagement</w:t>
            </w:r>
            <w:bookmarkEnd w:id="9"/>
          </w:p>
        </w:tc>
      </w:tr>
    </w:tbl>
    <w:p w14:paraId="6CC413B9" w14:textId="77777777" w:rsidR="008400EF" w:rsidRPr="00C01835" w:rsidRDefault="008400EF" w:rsidP="00C01835">
      <w:pPr>
        <w:tabs>
          <w:tab w:val="left" w:pos="2204"/>
        </w:tabs>
        <w:spacing w:after="0" w:line="240" w:lineRule="auto"/>
      </w:pPr>
    </w:p>
    <w:tbl>
      <w:tblPr>
        <w:tblStyle w:val="TableGrid0"/>
        <w:tblW w:w="9355" w:type="dxa"/>
        <w:tblLayout w:type="fixed"/>
        <w:tblLook w:val="04A0" w:firstRow="1" w:lastRow="0" w:firstColumn="1" w:lastColumn="0" w:noHBand="0" w:noVBand="1"/>
      </w:tblPr>
      <w:tblGrid>
        <w:gridCol w:w="9355"/>
      </w:tblGrid>
      <w:tr w:rsidR="008400EF" w:rsidRPr="00C01835" w14:paraId="54DCC16B" w14:textId="77777777" w:rsidTr="00C01835">
        <w:tc>
          <w:tcPr>
            <w:tcW w:w="9355" w:type="dxa"/>
            <w:shd w:val="clear" w:color="auto" w:fill="E2EFD9" w:themeFill="accent6" w:themeFillTint="33"/>
          </w:tcPr>
          <w:p w14:paraId="39358284" w14:textId="57C282D8" w:rsidR="00845327" w:rsidRPr="00C01835" w:rsidRDefault="008400EF" w:rsidP="007C49E7">
            <w:pPr>
              <w:pStyle w:val="ESSpara"/>
              <w:numPr>
                <w:ilvl w:val="0"/>
                <w:numId w:val="13"/>
              </w:numPr>
              <w:spacing w:after="0"/>
              <w:ind w:left="-19" w:firstLine="0"/>
              <w:rPr>
                <w:bCs/>
                <w:i/>
                <w:iCs/>
                <w:sz w:val="20"/>
                <w:szCs w:val="20"/>
              </w:rPr>
            </w:pPr>
            <w:r w:rsidRPr="00C01835">
              <w:rPr>
                <w:bCs/>
                <w:i/>
                <w:iCs/>
                <w:sz w:val="20"/>
                <w:szCs w:val="20"/>
              </w:rPr>
              <w:t>The FI will require the FI subproject to conduct stakeholder engagement in a manner proportionate to the risks and impacts of the FI subproject, and which reflects the type of FI subprojects it will finance. The relevant provisions of ESS10 will be included in the FI’s environmental and social procedures. In certain circumstances, depending on the risks and impacts of the project and the type of FI subprojects it will finance, the Bank may require the FI to be engaged in stakeholder engagement.</w:t>
            </w:r>
          </w:p>
        </w:tc>
      </w:tr>
    </w:tbl>
    <w:p w14:paraId="33F4F9F1" w14:textId="39C16CE4" w:rsidR="008400EF" w:rsidRPr="00C01835" w:rsidRDefault="008400EF" w:rsidP="00C01835">
      <w:pPr>
        <w:tabs>
          <w:tab w:val="left" w:pos="0"/>
        </w:tabs>
        <w:spacing w:after="0" w:line="240" w:lineRule="auto"/>
        <w:rPr>
          <w:color w:val="000000" w:themeColor="text1"/>
        </w:rPr>
      </w:pPr>
    </w:p>
    <w:p w14:paraId="2A17DEDD" w14:textId="661C3D86" w:rsidR="00772D8F" w:rsidRPr="00C01835" w:rsidRDefault="00772D8F" w:rsidP="00C01835">
      <w:pPr>
        <w:tabs>
          <w:tab w:val="left" w:pos="720"/>
        </w:tabs>
        <w:spacing w:after="0" w:line="240" w:lineRule="auto"/>
        <w:ind w:left="0" w:firstLine="0"/>
        <w:rPr>
          <w:color w:val="000000" w:themeColor="text1"/>
        </w:rPr>
      </w:pPr>
      <w:r w:rsidRPr="00C01835">
        <w:rPr>
          <w:b/>
          <w:color w:val="000000" w:themeColor="text1"/>
        </w:rPr>
        <w:t xml:space="preserve">GN24.1. </w:t>
      </w:r>
      <w:r w:rsidRPr="00C01835">
        <w:rPr>
          <w:color w:val="000000" w:themeColor="text1"/>
        </w:rPr>
        <w:t>ESS10 sets out requirem</w:t>
      </w:r>
      <w:r w:rsidR="00B17B75" w:rsidRPr="00F73059">
        <w:rPr>
          <w:i/>
          <w:iCs/>
          <w:noProof/>
          <w:sz w:val="24"/>
          <w:szCs w:val="24"/>
          <w:lang w:eastAsia="en-US"/>
        </w:rPr>
        <mc:AlternateContent>
          <mc:Choice Requires="wps">
            <w:drawing>
              <wp:anchor distT="45720" distB="45720" distL="114300" distR="114300" simplePos="0" relativeHeight="251681792" behindDoc="0" locked="0" layoutInCell="1" allowOverlap="1" wp14:anchorId="360FABFE" wp14:editId="7B6AFC42">
                <wp:simplePos x="0" y="0"/>
                <wp:positionH relativeFrom="page">
                  <wp:posOffset>7150735</wp:posOffset>
                </wp:positionH>
                <wp:positionV relativeFrom="page">
                  <wp:posOffset>8229600</wp:posOffset>
                </wp:positionV>
                <wp:extent cx="914400" cy="301752"/>
                <wp:effectExtent l="1587" t="0" r="1588" b="1587"/>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19FCA401" w14:textId="77777777" w:rsidR="005A4306" w:rsidRPr="00F73059" w:rsidRDefault="005A4306" w:rsidP="00B17B75">
                            <w:pPr>
                              <w:jc w:val="center"/>
                              <w:rPr>
                                <w:b/>
                                <w:color w:val="FFFFFF" w:themeColor="background1"/>
                                <w:sz w:val="28"/>
                                <w:szCs w:val="28"/>
                              </w:rPr>
                            </w:pPr>
                            <w:r>
                              <w:rPr>
                                <w:b/>
                                <w:color w:val="FFFFFF" w:themeColor="background1"/>
                                <w:sz w:val="28"/>
                                <w:szCs w:val="28"/>
                              </w:rPr>
                              <w:t>ESS9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FABFE" id="Text Box 12" o:spid="_x0000_s1035" type="#_x0000_t202" style="position:absolute;left:0;text-align:left;margin-left:563.05pt;margin-top:9in;width:1in;height:23.75pt;rotation:-90;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" fillcolor="#70ad47 [3209]" stroked="f">
                <v:textbox>
                  <w:txbxContent>
                    <w:p w14:paraId="19FCA401" w14:textId="77777777" w:rsidR="005A4306" w:rsidRPr="00F73059" w:rsidRDefault="005A4306" w:rsidP="00B17B75">
                      <w:pPr>
                        <w:jc w:val="center"/>
                        <w:rPr>
                          <w:b/>
                          <w:color w:val="FFFFFF" w:themeColor="background1"/>
                          <w:sz w:val="28"/>
                          <w:szCs w:val="28"/>
                        </w:rPr>
                      </w:pPr>
                      <w:r>
                        <w:rPr>
                          <w:b/>
                          <w:color w:val="FFFFFF" w:themeColor="background1"/>
                          <w:sz w:val="28"/>
                          <w:szCs w:val="28"/>
                        </w:rPr>
                        <w:t>ESS9</w:t>
                      </w:r>
                    </w:p>
                  </w:txbxContent>
                </v:textbox>
                <w10:wrap anchorx="page" anchory="page"/>
              </v:shape>
            </w:pict>
          </mc:Fallback>
        </mc:AlternateContent>
      </w:r>
      <w:r w:rsidRPr="00C01835">
        <w:rPr>
          <w:color w:val="000000" w:themeColor="text1"/>
        </w:rPr>
        <w:t>ents relating to the disclosure of information</w:t>
      </w:r>
      <w:r w:rsidR="00B2102A" w:rsidRPr="00C01835">
        <w:rPr>
          <w:color w:val="000000" w:themeColor="text1"/>
        </w:rPr>
        <w:t xml:space="preserve"> to</w:t>
      </w:r>
      <w:r w:rsidRPr="00C01835">
        <w:rPr>
          <w:color w:val="000000" w:themeColor="text1"/>
        </w:rPr>
        <w:t xml:space="preserve"> allow stakeholders to understand the </w:t>
      </w:r>
      <w:r w:rsidR="00B2102A" w:rsidRPr="00C01835">
        <w:rPr>
          <w:color w:val="000000" w:themeColor="text1"/>
        </w:rPr>
        <w:t xml:space="preserve">potential </w:t>
      </w:r>
      <w:r w:rsidRPr="00C01835">
        <w:rPr>
          <w:color w:val="000000" w:themeColor="text1"/>
        </w:rPr>
        <w:t xml:space="preserve">risks and impacts of </w:t>
      </w:r>
      <w:r w:rsidR="00244241">
        <w:rPr>
          <w:color w:val="000000" w:themeColor="text1"/>
        </w:rPr>
        <w:t>FI sub</w:t>
      </w:r>
      <w:r w:rsidR="00342143">
        <w:rPr>
          <w:color w:val="000000" w:themeColor="text1"/>
        </w:rPr>
        <w:t>projects</w:t>
      </w:r>
      <w:r w:rsidRPr="00C01835">
        <w:rPr>
          <w:color w:val="000000" w:themeColor="text1"/>
        </w:rPr>
        <w:t>.</w:t>
      </w:r>
      <w:r w:rsidRPr="00C01835">
        <w:rPr>
          <w:b/>
          <w:color w:val="000000" w:themeColor="text1"/>
        </w:rPr>
        <w:t xml:space="preserve"> </w:t>
      </w:r>
      <w:r w:rsidRPr="00C01835">
        <w:rPr>
          <w:color w:val="000000" w:themeColor="text1"/>
        </w:rPr>
        <w:t>Th</w:t>
      </w:r>
      <w:r w:rsidR="00342143">
        <w:rPr>
          <w:color w:val="000000" w:themeColor="text1"/>
        </w:rPr>
        <w:t>is</w:t>
      </w:r>
      <w:r w:rsidRPr="00C01835">
        <w:rPr>
          <w:color w:val="000000" w:themeColor="text1"/>
        </w:rPr>
        <w:t xml:space="preserve"> information </w:t>
      </w:r>
      <w:r w:rsidR="00342143">
        <w:rPr>
          <w:color w:val="000000" w:themeColor="text1"/>
        </w:rPr>
        <w:t xml:space="preserve">is </w:t>
      </w:r>
      <w:r w:rsidRPr="00C01835">
        <w:rPr>
          <w:color w:val="000000" w:themeColor="text1"/>
        </w:rPr>
        <w:t xml:space="preserve">disclosed in the relevant local languages and in a </w:t>
      </w:r>
      <w:r w:rsidR="00C73F41" w:rsidRPr="00C01835">
        <w:rPr>
          <w:color w:val="000000" w:themeColor="text1"/>
        </w:rPr>
        <w:t>manner,</w:t>
      </w:r>
      <w:r w:rsidRPr="00C01835">
        <w:rPr>
          <w:color w:val="000000" w:themeColor="text1"/>
        </w:rPr>
        <w:t xml:space="preserve"> that is accessible and culturally appropriate, and prior to approval of the </w:t>
      </w:r>
      <w:r w:rsidR="00244241">
        <w:rPr>
          <w:color w:val="000000" w:themeColor="text1"/>
        </w:rPr>
        <w:t>FI sub</w:t>
      </w:r>
      <w:r w:rsidRPr="00C01835">
        <w:rPr>
          <w:color w:val="000000" w:themeColor="text1"/>
        </w:rPr>
        <w:t>project.</w:t>
      </w:r>
      <w:r w:rsidR="005A1E19" w:rsidRPr="00C01835">
        <w:rPr>
          <w:color w:val="000000" w:themeColor="text1"/>
        </w:rPr>
        <w:t xml:space="preserve"> Further details on stakeholder engagement are set out in ESS10.</w:t>
      </w:r>
    </w:p>
    <w:p w14:paraId="4C7B3BA6" w14:textId="77777777" w:rsidR="003B498F" w:rsidRPr="00C01835" w:rsidRDefault="003B498F" w:rsidP="00C01835">
      <w:pPr>
        <w:tabs>
          <w:tab w:val="left" w:pos="0"/>
        </w:tabs>
        <w:spacing w:after="0" w:line="240" w:lineRule="auto"/>
        <w:rPr>
          <w:color w:val="000000" w:themeColor="text1"/>
        </w:rPr>
      </w:pPr>
    </w:p>
    <w:tbl>
      <w:tblPr>
        <w:tblStyle w:val="TableGrid0"/>
        <w:tblW w:w="9355" w:type="dxa"/>
        <w:tblLayout w:type="fixed"/>
        <w:tblLook w:val="04A0" w:firstRow="1" w:lastRow="0" w:firstColumn="1" w:lastColumn="0" w:noHBand="0" w:noVBand="1"/>
      </w:tblPr>
      <w:tblGrid>
        <w:gridCol w:w="9355"/>
      </w:tblGrid>
      <w:tr w:rsidR="008400EF" w:rsidRPr="00C01835" w14:paraId="2D96D731" w14:textId="77777777" w:rsidTr="00C01835">
        <w:tc>
          <w:tcPr>
            <w:tcW w:w="9355" w:type="dxa"/>
            <w:shd w:val="clear" w:color="auto" w:fill="E2EFD9" w:themeFill="accent6" w:themeFillTint="33"/>
          </w:tcPr>
          <w:p w14:paraId="582564BF" w14:textId="277867F5" w:rsidR="00845327" w:rsidRPr="00C01835" w:rsidRDefault="008400EF" w:rsidP="007C49E7">
            <w:pPr>
              <w:pStyle w:val="ESSpara"/>
              <w:numPr>
                <w:ilvl w:val="0"/>
                <w:numId w:val="13"/>
              </w:numPr>
              <w:spacing w:after="0"/>
              <w:ind w:left="-19" w:firstLine="0"/>
              <w:rPr>
                <w:bCs/>
                <w:i/>
                <w:iCs/>
                <w:sz w:val="20"/>
                <w:szCs w:val="20"/>
              </w:rPr>
            </w:pPr>
            <w:r w:rsidRPr="00C01835">
              <w:rPr>
                <w:bCs/>
                <w:i/>
                <w:iCs/>
                <w:sz w:val="20"/>
                <w:szCs w:val="20"/>
              </w:rPr>
              <w:t xml:space="preserve">The FI will put in place procedures for external communications on environmental and social matters proportionate to the risks and impacts of the FI subprojects, and the risk profile of the FI’s portfolio. The FI will respond to public enquiries and concerns in a timely manner. </w:t>
            </w:r>
          </w:p>
        </w:tc>
      </w:tr>
    </w:tbl>
    <w:p w14:paraId="5661F5ED" w14:textId="77777777" w:rsidR="003B498F" w:rsidRPr="00C01835" w:rsidRDefault="003B498F" w:rsidP="00C01835">
      <w:pPr>
        <w:tabs>
          <w:tab w:val="left" w:pos="0"/>
        </w:tabs>
        <w:spacing w:after="0" w:line="240" w:lineRule="auto"/>
        <w:rPr>
          <w:b/>
          <w:color w:val="000000" w:themeColor="text1"/>
        </w:rPr>
      </w:pPr>
    </w:p>
    <w:p w14:paraId="072465AF" w14:textId="5BA04598" w:rsidR="003B498F" w:rsidRPr="00C01835" w:rsidRDefault="003B498F" w:rsidP="00C01835">
      <w:pPr>
        <w:tabs>
          <w:tab w:val="left" w:pos="0"/>
        </w:tabs>
        <w:spacing w:after="0" w:line="240" w:lineRule="auto"/>
        <w:rPr>
          <w:color w:val="000000" w:themeColor="text1"/>
        </w:rPr>
      </w:pPr>
      <w:r w:rsidRPr="00C01835">
        <w:rPr>
          <w:b/>
          <w:color w:val="000000" w:themeColor="text1"/>
        </w:rPr>
        <w:lastRenderedPageBreak/>
        <w:t>GN25.1.</w:t>
      </w:r>
      <w:r w:rsidRPr="00C01835">
        <w:rPr>
          <w:color w:val="000000" w:themeColor="text1"/>
        </w:rPr>
        <w:t xml:space="preserve"> </w:t>
      </w:r>
      <w:r w:rsidR="00782575">
        <w:rPr>
          <w:color w:val="000000" w:themeColor="text1"/>
        </w:rPr>
        <w:t>P</w:t>
      </w:r>
      <w:r w:rsidR="0044385B" w:rsidRPr="00C01835">
        <w:rPr>
          <w:color w:val="000000" w:themeColor="text1"/>
        </w:rPr>
        <w:t>rocedures for external communications</w:t>
      </w:r>
      <w:r w:rsidR="00961EF7" w:rsidRPr="00C01835">
        <w:rPr>
          <w:color w:val="000000" w:themeColor="text1"/>
        </w:rPr>
        <w:t xml:space="preserve"> </w:t>
      </w:r>
      <w:r w:rsidR="0011557C">
        <w:rPr>
          <w:color w:val="000000" w:themeColor="text1"/>
        </w:rPr>
        <w:t xml:space="preserve">on environmental and social issues </w:t>
      </w:r>
      <w:r w:rsidR="00782575">
        <w:rPr>
          <w:color w:val="000000" w:themeColor="text1"/>
        </w:rPr>
        <w:t>are</w:t>
      </w:r>
      <w:r w:rsidR="00695B3D" w:rsidRPr="00C01835">
        <w:rPr>
          <w:color w:val="000000" w:themeColor="text1"/>
        </w:rPr>
        <w:t xml:space="preserve"> designed to </w:t>
      </w:r>
      <w:r w:rsidRPr="00C01835">
        <w:rPr>
          <w:color w:val="000000" w:themeColor="text1"/>
        </w:rPr>
        <w:t>receive, respond to, and document requests for information or concerns</w:t>
      </w:r>
      <w:r w:rsidR="00716927" w:rsidRPr="00C01835">
        <w:rPr>
          <w:color w:val="000000" w:themeColor="text1"/>
        </w:rPr>
        <w:t xml:space="preserve"> to allow a timely response</w:t>
      </w:r>
      <w:r w:rsidR="005A0CE0" w:rsidRPr="00C01835">
        <w:rPr>
          <w:color w:val="000000" w:themeColor="text1"/>
        </w:rPr>
        <w:t>.</w:t>
      </w:r>
      <w:r w:rsidRPr="00C01835">
        <w:rPr>
          <w:color w:val="000000" w:themeColor="text1"/>
        </w:rPr>
        <w:t xml:space="preserve"> </w:t>
      </w:r>
      <w:r w:rsidR="00342143">
        <w:rPr>
          <w:color w:val="000000" w:themeColor="text1"/>
        </w:rPr>
        <w:t xml:space="preserve">This includes making contact information </w:t>
      </w:r>
      <w:r w:rsidRPr="00C01835">
        <w:rPr>
          <w:color w:val="000000" w:themeColor="text1"/>
        </w:rPr>
        <w:t>publicly available and easily accessible (</w:t>
      </w:r>
      <w:r w:rsidR="00FF2A11" w:rsidRPr="00C01835">
        <w:rPr>
          <w:color w:val="000000" w:themeColor="text1"/>
        </w:rPr>
        <w:t xml:space="preserve">for example, a </w:t>
      </w:r>
      <w:r w:rsidRPr="00C01835">
        <w:rPr>
          <w:color w:val="000000" w:themeColor="text1"/>
        </w:rPr>
        <w:t xml:space="preserve">phone number, website, e-mail address). If a concern is deemed not to be relevant, the </w:t>
      </w:r>
      <w:r w:rsidR="00782575">
        <w:rPr>
          <w:color w:val="000000" w:themeColor="text1"/>
        </w:rPr>
        <w:t xml:space="preserve">Responsible </w:t>
      </w:r>
      <w:r w:rsidR="00745C16" w:rsidRPr="00C01835">
        <w:rPr>
          <w:color w:val="000000" w:themeColor="text1"/>
        </w:rPr>
        <w:t>FI</w:t>
      </w:r>
      <w:r w:rsidRPr="00C01835">
        <w:rPr>
          <w:color w:val="000000" w:themeColor="text1"/>
        </w:rPr>
        <w:t xml:space="preserve"> </w:t>
      </w:r>
      <w:r w:rsidR="00745C16" w:rsidRPr="00C01835">
        <w:rPr>
          <w:color w:val="000000" w:themeColor="text1"/>
        </w:rPr>
        <w:t>record</w:t>
      </w:r>
      <w:r w:rsidR="0011557C">
        <w:rPr>
          <w:color w:val="000000" w:themeColor="text1"/>
        </w:rPr>
        <w:t>s</w:t>
      </w:r>
      <w:r w:rsidR="008652F9" w:rsidRPr="00C01835">
        <w:rPr>
          <w:color w:val="000000" w:themeColor="text1"/>
        </w:rPr>
        <w:t xml:space="preserve"> </w:t>
      </w:r>
      <w:r w:rsidR="00745C16" w:rsidRPr="00C01835">
        <w:rPr>
          <w:color w:val="000000" w:themeColor="text1"/>
        </w:rPr>
        <w:t xml:space="preserve">the reasons for this </w:t>
      </w:r>
      <w:r w:rsidR="00B42C60" w:rsidRPr="00C01835">
        <w:rPr>
          <w:color w:val="000000" w:themeColor="text1"/>
        </w:rPr>
        <w:t>determination</w:t>
      </w:r>
      <w:r w:rsidR="00745C16" w:rsidRPr="00C01835">
        <w:rPr>
          <w:color w:val="000000" w:themeColor="text1"/>
        </w:rPr>
        <w:t>.</w:t>
      </w:r>
    </w:p>
    <w:p w14:paraId="0ECA4A8C" w14:textId="77777777" w:rsidR="008400EF" w:rsidRPr="00C01835" w:rsidRDefault="008400EF" w:rsidP="00C01835">
      <w:pPr>
        <w:tabs>
          <w:tab w:val="left" w:pos="0"/>
        </w:tabs>
        <w:spacing w:after="0" w:line="240" w:lineRule="auto"/>
        <w:rPr>
          <w:color w:val="000000" w:themeColor="text1"/>
        </w:rPr>
      </w:pPr>
    </w:p>
    <w:tbl>
      <w:tblPr>
        <w:tblStyle w:val="TableGrid0"/>
        <w:tblW w:w="9355" w:type="dxa"/>
        <w:tblLayout w:type="fixed"/>
        <w:tblLook w:val="04A0" w:firstRow="1" w:lastRow="0" w:firstColumn="1" w:lastColumn="0" w:noHBand="0" w:noVBand="1"/>
      </w:tblPr>
      <w:tblGrid>
        <w:gridCol w:w="9355"/>
      </w:tblGrid>
      <w:tr w:rsidR="008400EF" w:rsidRPr="00C01835" w14:paraId="1FE838B4" w14:textId="77777777" w:rsidTr="00C01835">
        <w:tc>
          <w:tcPr>
            <w:tcW w:w="9355" w:type="dxa"/>
            <w:shd w:val="clear" w:color="auto" w:fill="E2EFD9" w:themeFill="accent6" w:themeFillTint="33"/>
          </w:tcPr>
          <w:p w14:paraId="019A84E0" w14:textId="6C0A0F26" w:rsidR="00845327" w:rsidRPr="00C01835" w:rsidRDefault="008400EF" w:rsidP="007C49E7">
            <w:pPr>
              <w:pStyle w:val="ESSpara"/>
              <w:numPr>
                <w:ilvl w:val="0"/>
                <w:numId w:val="13"/>
              </w:numPr>
              <w:spacing w:after="0"/>
              <w:ind w:left="-19" w:firstLine="0"/>
              <w:rPr>
                <w:bCs/>
                <w:i/>
                <w:iCs/>
                <w:sz w:val="20"/>
                <w:szCs w:val="20"/>
              </w:rPr>
            </w:pPr>
            <w:r w:rsidRPr="00C01835">
              <w:rPr>
                <w:bCs/>
                <w:i/>
                <w:iCs/>
                <w:sz w:val="20"/>
                <w:szCs w:val="20"/>
              </w:rPr>
              <w:t>The FI will disclose through the FI’s website, if a website exists, and permit, in writing, the Bank to disclose on the Bank’s website, a summary of each of the elements of the FI’s ESMS.</w:t>
            </w:r>
          </w:p>
        </w:tc>
      </w:tr>
    </w:tbl>
    <w:p w14:paraId="7A0259F1" w14:textId="77777777" w:rsidR="008400EF" w:rsidRPr="00C01835" w:rsidRDefault="008400EF" w:rsidP="00C01835">
      <w:pPr>
        <w:tabs>
          <w:tab w:val="left" w:pos="0"/>
        </w:tabs>
        <w:spacing w:after="0" w:line="240" w:lineRule="auto"/>
        <w:rPr>
          <w:color w:val="000000" w:themeColor="text1"/>
        </w:rPr>
      </w:pPr>
    </w:p>
    <w:tbl>
      <w:tblPr>
        <w:tblStyle w:val="TableGrid0"/>
        <w:tblW w:w="9355" w:type="dxa"/>
        <w:tblLayout w:type="fixed"/>
        <w:tblLook w:val="04A0" w:firstRow="1" w:lastRow="0" w:firstColumn="1" w:lastColumn="0" w:noHBand="0" w:noVBand="1"/>
      </w:tblPr>
      <w:tblGrid>
        <w:gridCol w:w="9355"/>
      </w:tblGrid>
      <w:tr w:rsidR="008400EF" w:rsidRPr="00C01835" w14:paraId="54086515" w14:textId="77777777" w:rsidTr="00C01835">
        <w:tc>
          <w:tcPr>
            <w:tcW w:w="9355" w:type="dxa"/>
            <w:shd w:val="clear" w:color="auto" w:fill="E2EFD9" w:themeFill="accent6" w:themeFillTint="33"/>
          </w:tcPr>
          <w:p w14:paraId="3235C662" w14:textId="4E2B11C4" w:rsidR="008400EF" w:rsidRPr="00C01835" w:rsidRDefault="008400EF" w:rsidP="007C49E7">
            <w:pPr>
              <w:pStyle w:val="ESSpara"/>
              <w:numPr>
                <w:ilvl w:val="0"/>
                <w:numId w:val="13"/>
              </w:numPr>
              <w:spacing w:after="0"/>
              <w:ind w:left="-19" w:firstLine="0"/>
              <w:rPr>
                <w:bCs/>
                <w:i/>
                <w:iCs/>
                <w:sz w:val="20"/>
                <w:szCs w:val="20"/>
              </w:rPr>
            </w:pPr>
            <w:r w:rsidRPr="00C01835">
              <w:rPr>
                <w:bCs/>
                <w:i/>
                <w:iCs/>
                <w:sz w:val="20"/>
                <w:szCs w:val="20"/>
              </w:rPr>
              <w:t>The FI will require its sub-borrowers to disclose, in relation to FI subprojects, any project-related documents</w:t>
            </w:r>
            <w:r w:rsidRPr="00C01835">
              <w:rPr>
                <w:bCs/>
                <w:i/>
                <w:iCs/>
                <w:sz w:val="20"/>
                <w:szCs w:val="20"/>
                <w:vertAlign w:val="superscript"/>
              </w:rPr>
              <w:t xml:space="preserve">16 </w:t>
            </w:r>
            <w:r w:rsidRPr="00C01835">
              <w:rPr>
                <w:bCs/>
                <w:i/>
                <w:iCs/>
                <w:sz w:val="20"/>
                <w:szCs w:val="20"/>
              </w:rPr>
              <w:t>required (a) by the application of the ESSs; (b) for any FI subprojects categorized as high risk in accordance with the FI’s own categorization system; and (c) any environmental and social monitoring reports relating to (a) or (b).</w:t>
            </w:r>
          </w:p>
        </w:tc>
      </w:tr>
      <w:tr w:rsidR="008400EF" w:rsidRPr="00C01835" w14:paraId="59946A62" w14:textId="77777777" w:rsidTr="00C01835">
        <w:tc>
          <w:tcPr>
            <w:tcW w:w="9355" w:type="dxa"/>
            <w:shd w:val="clear" w:color="auto" w:fill="E2EFD9" w:themeFill="accent6" w:themeFillTint="33"/>
          </w:tcPr>
          <w:p w14:paraId="611ABB68" w14:textId="286455E1" w:rsidR="00845327" w:rsidRPr="00C01835" w:rsidRDefault="000A775C" w:rsidP="00C01835">
            <w:pPr>
              <w:pStyle w:val="ESSpara"/>
              <w:numPr>
                <w:ilvl w:val="0"/>
                <w:numId w:val="0"/>
              </w:numPr>
              <w:spacing w:after="0"/>
              <w:ind w:left="-19"/>
              <w:rPr>
                <w:bCs/>
                <w:i/>
                <w:iCs/>
                <w:sz w:val="20"/>
                <w:szCs w:val="20"/>
              </w:rPr>
            </w:pPr>
            <w:r w:rsidRPr="00C01835">
              <w:rPr>
                <w:bCs/>
                <w:i/>
                <w:iCs/>
                <w:sz w:val="20"/>
                <w:szCs w:val="20"/>
              </w:rPr>
              <w:t xml:space="preserve">Footnote </w:t>
            </w:r>
            <w:r w:rsidR="008400EF" w:rsidRPr="00C01835">
              <w:rPr>
                <w:bCs/>
                <w:i/>
                <w:iCs/>
                <w:sz w:val="20"/>
                <w:szCs w:val="20"/>
              </w:rPr>
              <w:t>16. For example, environmental and social assessment reports, resettlement action plans and Indigenous Peoples plans.</w:t>
            </w:r>
          </w:p>
        </w:tc>
      </w:tr>
    </w:tbl>
    <w:p w14:paraId="2DC21721" w14:textId="17E8AFFD" w:rsidR="008400EF" w:rsidRPr="00C01835" w:rsidRDefault="00072A88" w:rsidP="00393BF4">
      <w:pPr>
        <w:tabs>
          <w:tab w:val="left" w:pos="0"/>
        </w:tabs>
        <w:spacing w:after="0" w:line="240" w:lineRule="auto"/>
        <w:rPr>
          <w:color w:val="000000" w:themeColor="text1"/>
        </w:rPr>
      </w:pPr>
      <w:bookmarkStart w:id="10" w:name="_GoBack"/>
      <w:bookmarkEnd w:id="10"/>
      <w:r w:rsidRPr="00F73059">
        <w:rPr>
          <w:i/>
          <w:iCs/>
          <w:noProof/>
          <w:sz w:val="24"/>
          <w:szCs w:val="24"/>
          <w:lang w:eastAsia="en-US"/>
        </w:rPr>
        <mc:AlternateContent>
          <mc:Choice Requires="wps">
            <w:drawing>
              <wp:anchor distT="45720" distB="45720" distL="114300" distR="114300" simplePos="0" relativeHeight="251687936" behindDoc="0" locked="0" layoutInCell="1" allowOverlap="1" wp14:anchorId="54B44836" wp14:editId="5A8E133D">
                <wp:simplePos x="0" y="0"/>
                <wp:positionH relativeFrom="page">
                  <wp:posOffset>7150735</wp:posOffset>
                </wp:positionH>
                <wp:positionV relativeFrom="page">
                  <wp:posOffset>8229600</wp:posOffset>
                </wp:positionV>
                <wp:extent cx="914400" cy="301752"/>
                <wp:effectExtent l="1587" t="0" r="1588" b="1587"/>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751D494C" w14:textId="77777777" w:rsidR="00072A88" w:rsidRPr="00F73059" w:rsidRDefault="00072A88" w:rsidP="00072A88">
                            <w:pPr>
                              <w:jc w:val="center"/>
                              <w:rPr>
                                <w:b/>
                                <w:color w:val="FFFFFF" w:themeColor="background1"/>
                                <w:sz w:val="28"/>
                                <w:szCs w:val="28"/>
                              </w:rPr>
                            </w:pPr>
                            <w:r>
                              <w:rPr>
                                <w:b/>
                                <w:color w:val="FFFFFF" w:themeColor="background1"/>
                                <w:sz w:val="28"/>
                                <w:szCs w:val="28"/>
                              </w:rPr>
                              <w:t>ESS9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44836" id="Text Box 14" o:spid="_x0000_s1036" type="#_x0000_t202" style="position:absolute;left:0;text-align:left;margin-left:563.05pt;margin-top:9in;width:1in;height:23.75pt;rotation:-90;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" fillcolor="#70ad47 [3209]" stroked="f">
                <v:textbox>
                  <w:txbxContent>
                    <w:p w14:paraId="751D494C" w14:textId="77777777" w:rsidR="00072A88" w:rsidRPr="00F73059" w:rsidRDefault="00072A88" w:rsidP="00072A88">
                      <w:pPr>
                        <w:jc w:val="center"/>
                        <w:rPr>
                          <w:b/>
                          <w:color w:val="FFFFFF" w:themeColor="background1"/>
                          <w:sz w:val="28"/>
                          <w:szCs w:val="28"/>
                        </w:rPr>
                      </w:pPr>
                      <w:r>
                        <w:rPr>
                          <w:b/>
                          <w:color w:val="FFFFFF" w:themeColor="background1"/>
                          <w:sz w:val="28"/>
                          <w:szCs w:val="28"/>
                        </w:rPr>
                        <w:t>ESS9</w:t>
                      </w:r>
                    </w:p>
                  </w:txbxContent>
                </v:textbox>
                <w10:wrap anchorx="page" anchory="page"/>
              </v:shape>
            </w:pict>
          </mc:Fallback>
        </mc:AlternateContent>
      </w:r>
    </w:p>
    <w:sectPr w:rsidR="008400EF" w:rsidRPr="00C01835" w:rsidSect="002754B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4DE0B" w14:textId="77777777" w:rsidR="00205C47" w:rsidRDefault="00205C47">
      <w:pPr>
        <w:spacing w:after="0" w:line="240" w:lineRule="auto"/>
      </w:pPr>
      <w:r>
        <w:separator/>
      </w:r>
    </w:p>
  </w:endnote>
  <w:endnote w:type="continuationSeparator" w:id="0">
    <w:p w14:paraId="035D6F51" w14:textId="77777777" w:rsidR="00205C47" w:rsidRDefault="0020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ambria"/>
    <w:panose1 w:val="00000400000000000000"/>
    <w:charset w:val="01"/>
    <w:family w:val="roman"/>
    <w:notTrueType/>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418874"/>
      <w:docPartObj>
        <w:docPartGallery w:val="Page Numbers (Bottom of Page)"/>
        <w:docPartUnique/>
      </w:docPartObj>
    </w:sdtPr>
    <w:sdtEndPr>
      <w:rPr>
        <w:noProof/>
      </w:rPr>
    </w:sdtEndPr>
    <w:sdtContent>
      <w:p w14:paraId="71FCCA68" w14:textId="0F1C82E2" w:rsidR="005A4306" w:rsidRDefault="005A4306">
        <w:pPr>
          <w:pStyle w:val="Footer"/>
          <w:jc w:val="center"/>
        </w:pPr>
        <w:r>
          <w:fldChar w:fldCharType="begin"/>
        </w:r>
        <w:r>
          <w:instrText xml:space="preserve"> PAGE   \* MERGEFORMAT </w:instrText>
        </w:r>
        <w:r>
          <w:fldChar w:fldCharType="separate"/>
        </w:r>
        <w:r w:rsidR="00053B63">
          <w:rPr>
            <w:noProof/>
          </w:rPr>
          <w:t>9</w:t>
        </w:r>
        <w:r>
          <w:rPr>
            <w:noProof/>
          </w:rPr>
          <w:fldChar w:fldCharType="end"/>
        </w:r>
      </w:p>
    </w:sdtContent>
  </w:sdt>
  <w:p w14:paraId="621C3B02" w14:textId="77777777" w:rsidR="005A4306" w:rsidRDefault="005A4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19E61" w14:textId="77777777" w:rsidR="00205C47" w:rsidRDefault="00205C47">
      <w:pPr>
        <w:spacing w:after="0" w:line="240" w:lineRule="auto"/>
      </w:pPr>
      <w:r>
        <w:separator/>
      </w:r>
    </w:p>
  </w:footnote>
  <w:footnote w:type="continuationSeparator" w:id="0">
    <w:p w14:paraId="1C549CEC" w14:textId="77777777" w:rsidR="00205C47" w:rsidRDefault="00205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34FE" w14:textId="13BBCC81" w:rsidR="005A4306" w:rsidRDefault="00053B63" w:rsidP="004C157C">
    <w:pPr>
      <w:spacing w:after="0"/>
      <w:jc w:val="right"/>
      <w:rPr>
        <w:b/>
        <w:i/>
        <w:sz w:val="24"/>
        <w:szCs w:val="24"/>
      </w:rPr>
    </w:pPr>
    <w:sdt>
      <w:sdtPr>
        <w:rPr>
          <w:b/>
          <w:bCs/>
          <w:i/>
          <w:sz w:val="24"/>
          <w:szCs w:val="24"/>
        </w:rPr>
        <w:id w:val="-140424641"/>
        <w:docPartObj>
          <w:docPartGallery w:val="Watermarks"/>
          <w:docPartUnique/>
        </w:docPartObj>
      </w:sdtPr>
      <w:sdtEndPr/>
      <w:sdtContent>
        <w:r>
          <w:rPr>
            <w:b/>
            <w:bCs/>
            <w:i/>
            <w:noProof/>
            <w:sz w:val="24"/>
            <w:szCs w:val="24"/>
          </w:rPr>
          <w:pict w14:anchorId="4ED14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C157C">
      <w:rPr>
        <w:b/>
        <w:bCs/>
        <w:i/>
        <w:sz w:val="24"/>
        <w:szCs w:val="24"/>
      </w:rPr>
      <w:t>November 1</w:t>
    </w:r>
    <w:r w:rsidR="00824CE1">
      <w:rPr>
        <w:b/>
        <w:i/>
        <w:sz w:val="24"/>
        <w:szCs w:val="24"/>
      </w:rPr>
      <w:t>, 2017</w:t>
    </w:r>
  </w:p>
  <w:p w14:paraId="33B2BA42" w14:textId="77777777" w:rsidR="005A4306" w:rsidRPr="00E82FFA" w:rsidRDefault="005A4306" w:rsidP="008B1003">
    <w:pPr>
      <w:spacing w:after="0"/>
      <w:rPr>
        <w:sz w:val="24"/>
        <w:szCs w:val="24"/>
      </w:rPr>
    </w:pPr>
  </w:p>
  <w:p w14:paraId="40942515" w14:textId="11748139" w:rsidR="004C157C" w:rsidRDefault="005A4306" w:rsidP="008B1003">
    <w:pPr>
      <w:spacing w:after="0"/>
      <w:jc w:val="center"/>
      <w:rPr>
        <w:b/>
        <w:bCs/>
        <w:i/>
        <w:iCs/>
        <w:sz w:val="24"/>
        <w:szCs w:val="24"/>
      </w:rPr>
    </w:pPr>
    <w:r>
      <w:rPr>
        <w:b/>
        <w:bCs/>
        <w:i/>
        <w:iCs/>
        <w:sz w:val="24"/>
        <w:szCs w:val="24"/>
      </w:rPr>
      <w:t xml:space="preserve">DRAFT </w:t>
    </w:r>
    <w:r w:rsidR="004C157C">
      <w:rPr>
        <w:b/>
        <w:bCs/>
        <w:i/>
        <w:iCs/>
        <w:sz w:val="24"/>
        <w:szCs w:val="24"/>
      </w:rPr>
      <w:t>FOR PUBLIC COMMENT</w:t>
    </w:r>
  </w:p>
  <w:p w14:paraId="6AA0427A" w14:textId="709F264F" w:rsidR="005A4306" w:rsidRPr="009A094D" w:rsidRDefault="005A4306" w:rsidP="008B1003">
    <w:pPr>
      <w:spacing w:after="0"/>
      <w:jc w:val="center"/>
      <w:rPr>
        <w:b/>
        <w:bCs/>
        <w:i/>
        <w:iCs/>
        <w:sz w:val="24"/>
        <w:szCs w:val="24"/>
      </w:rPr>
    </w:pPr>
    <w:r>
      <w:rPr>
        <w:b/>
        <w:bCs/>
        <w:i/>
        <w:iCs/>
        <w:sz w:val="24"/>
        <w:szCs w:val="24"/>
      </w:rPr>
      <w:t xml:space="preserve">Guidance Note </w:t>
    </w:r>
    <w:r w:rsidR="00F049A7">
      <w:rPr>
        <w:b/>
        <w:bCs/>
        <w:i/>
        <w:iCs/>
        <w:sz w:val="24"/>
        <w:szCs w:val="24"/>
      </w:rPr>
      <w:t>for</w:t>
    </w:r>
    <w:r w:rsidR="009B47C3">
      <w:rPr>
        <w:b/>
        <w:bCs/>
        <w:i/>
        <w:iCs/>
        <w:sz w:val="24"/>
        <w:szCs w:val="24"/>
      </w:rPr>
      <w:t xml:space="preserve"> ESS</w:t>
    </w:r>
    <w:r>
      <w:rPr>
        <w:b/>
        <w:bCs/>
        <w:i/>
        <w:iCs/>
        <w:sz w:val="24"/>
        <w:szCs w:val="24"/>
      </w:rPr>
      <w:t>9</w:t>
    </w:r>
  </w:p>
  <w:p w14:paraId="7AF6291B" w14:textId="774AF8E8" w:rsidR="005A4306" w:rsidRPr="008B1003" w:rsidRDefault="005A4306" w:rsidP="004C157C">
    <w:pPr>
      <w:ind w:left="-180" w:right="-180"/>
      <w:jc w:val="center"/>
      <w:rPr>
        <w:b/>
        <w:bCs/>
        <w:i/>
        <w:iCs/>
        <w:sz w:val="24"/>
        <w:szCs w:val="24"/>
      </w:rPr>
    </w:pPr>
    <w:r>
      <w:rPr>
        <w:b/>
        <w:bCs/>
        <w:i/>
        <w:iCs/>
        <w:sz w:val="24"/>
        <w:szCs w:val="24"/>
      </w:rPr>
      <w:t>Financial Intermediaries</w:t>
    </w:r>
  </w:p>
  <w:p w14:paraId="5093DB35" w14:textId="77777777" w:rsidR="005A4306" w:rsidRPr="00E82FFA" w:rsidRDefault="005A4306" w:rsidP="00F67230">
    <w:pPr>
      <w:spacing w:after="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D6F"/>
    <w:multiLevelType w:val="hybridMultilevel"/>
    <w:tmpl w:val="F2C2969C"/>
    <w:lvl w:ilvl="0" w:tplc="81A06054">
      <w:start w:val="14"/>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0AE26ED"/>
    <w:multiLevelType w:val="hybridMultilevel"/>
    <w:tmpl w:val="878EDC4A"/>
    <w:lvl w:ilvl="0" w:tplc="7FC4E9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12D73"/>
    <w:multiLevelType w:val="hybridMultilevel"/>
    <w:tmpl w:val="F1EC7098"/>
    <w:lvl w:ilvl="0" w:tplc="6F5EEDB2">
      <w:start w:val="15"/>
      <w:numFmt w:val="decimal"/>
      <w:lvlText w:val="%1."/>
      <w:lvlJc w:val="left"/>
      <w:pPr>
        <w:ind w:left="1562" w:hanging="360"/>
      </w:pPr>
      <w:rPr>
        <w:rFonts w:hint="default"/>
      </w:rPr>
    </w:lvl>
    <w:lvl w:ilvl="1" w:tplc="6DD6230E">
      <w:numFmt w:val="bullet"/>
      <w:lvlText w:val="-"/>
      <w:lvlJc w:val="left"/>
      <w:pPr>
        <w:ind w:left="2282" w:hanging="360"/>
      </w:pPr>
      <w:rPr>
        <w:rFonts w:ascii="Calibri" w:eastAsiaTheme="minorEastAsia" w:hAnsi="Calibri" w:cs="Calibri" w:hint="default"/>
      </w:rPr>
    </w:lvl>
    <w:lvl w:ilvl="2" w:tplc="F3F47462">
      <w:start w:val="1"/>
      <w:numFmt w:val="decimal"/>
      <w:lvlText w:val="%3)"/>
      <w:lvlJc w:val="left"/>
      <w:pPr>
        <w:ind w:left="3182" w:hanging="360"/>
      </w:pPr>
      <w:rPr>
        <w:rFonts w:hint="default"/>
      </w:r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 w15:restartNumberingAfterBreak="0">
    <w:nsid w:val="165D335C"/>
    <w:multiLevelType w:val="hybridMultilevel"/>
    <w:tmpl w:val="2C2CE73C"/>
    <w:lvl w:ilvl="0" w:tplc="99D4CBCA">
      <w:start w:val="15"/>
      <w:numFmt w:val="decimal"/>
      <w:lvlText w:val="%1."/>
      <w:lvlJc w:val="left"/>
      <w:pPr>
        <w:ind w:left="720"/>
      </w:pPr>
      <w:rPr>
        <w:rFonts w:ascii="Calibri" w:eastAsia="Times New Roman" w:hAnsi="Calibri" w:cs="Calibri"/>
        <w:b w:val="0"/>
        <w:i w:val="0"/>
        <w:strike w:val="0"/>
        <w:dstrike w:val="0"/>
        <w:color w:val="000000"/>
        <w:sz w:val="22"/>
        <w:szCs w:val="22"/>
        <w:u w:val="none" w:color="000000"/>
        <w:vertAlign w:val="baseline"/>
      </w:rPr>
    </w:lvl>
    <w:lvl w:ilvl="1" w:tplc="8646D296">
      <w:start w:val="1"/>
      <w:numFmt w:val="lowerLetter"/>
      <w:lvlText w:val="(%2)"/>
      <w:lvlJc w:val="left"/>
      <w:pPr>
        <w:ind w:left="1800"/>
      </w:pPr>
      <w:rPr>
        <w:rFonts w:ascii="Calibri" w:eastAsia="Times New Roman" w:hAnsi="Calibri" w:cs="Calibri"/>
        <w:b/>
        <w:i/>
        <w:strike w:val="0"/>
        <w:dstrike w:val="0"/>
        <w:color w:val="000000"/>
        <w:sz w:val="22"/>
        <w:szCs w:val="22"/>
        <w:u w:val="none" w:color="000000"/>
        <w:vertAlign w:val="baseline"/>
      </w:rPr>
    </w:lvl>
    <w:lvl w:ilvl="2" w:tplc="C4D48D64">
      <w:start w:val="1"/>
      <w:numFmt w:val="lowerRoman"/>
      <w:lvlText w:val="%3"/>
      <w:lvlJc w:val="left"/>
      <w:pPr>
        <w:ind w:left="2520"/>
      </w:pPr>
      <w:rPr>
        <w:rFonts w:ascii="Calibri" w:eastAsia="Times New Roman" w:hAnsi="Calibri" w:cs="Calibri"/>
        <w:b w:val="0"/>
        <w:i w:val="0"/>
        <w:strike w:val="0"/>
        <w:dstrike w:val="0"/>
        <w:color w:val="000000"/>
        <w:sz w:val="22"/>
        <w:szCs w:val="22"/>
        <w:u w:val="none" w:color="000000"/>
        <w:vertAlign w:val="baseline"/>
      </w:rPr>
    </w:lvl>
    <w:lvl w:ilvl="3" w:tplc="AD96D94E">
      <w:start w:val="1"/>
      <w:numFmt w:val="decimal"/>
      <w:lvlText w:val="%4"/>
      <w:lvlJc w:val="left"/>
      <w:pPr>
        <w:ind w:left="3240"/>
      </w:pPr>
      <w:rPr>
        <w:rFonts w:ascii="Calibri" w:eastAsia="Times New Roman" w:hAnsi="Calibri" w:cs="Calibri"/>
        <w:b w:val="0"/>
        <w:i w:val="0"/>
        <w:strike w:val="0"/>
        <w:dstrike w:val="0"/>
        <w:color w:val="000000"/>
        <w:sz w:val="22"/>
        <w:szCs w:val="22"/>
        <w:u w:val="none" w:color="000000"/>
        <w:vertAlign w:val="baseline"/>
      </w:rPr>
    </w:lvl>
    <w:lvl w:ilvl="4" w:tplc="18C0D51A">
      <w:start w:val="1"/>
      <w:numFmt w:val="lowerLetter"/>
      <w:lvlText w:val="%5"/>
      <w:lvlJc w:val="left"/>
      <w:pPr>
        <w:ind w:left="3960"/>
      </w:pPr>
      <w:rPr>
        <w:rFonts w:ascii="Calibri" w:eastAsia="Times New Roman" w:hAnsi="Calibri" w:cs="Calibri"/>
        <w:b w:val="0"/>
        <w:i w:val="0"/>
        <w:strike w:val="0"/>
        <w:dstrike w:val="0"/>
        <w:color w:val="000000"/>
        <w:sz w:val="22"/>
        <w:szCs w:val="22"/>
        <w:u w:val="none" w:color="000000"/>
        <w:vertAlign w:val="baseline"/>
      </w:rPr>
    </w:lvl>
    <w:lvl w:ilvl="5" w:tplc="EBEA07A6">
      <w:start w:val="1"/>
      <w:numFmt w:val="lowerRoman"/>
      <w:lvlText w:val="%6"/>
      <w:lvlJc w:val="left"/>
      <w:pPr>
        <w:ind w:left="4680"/>
      </w:pPr>
      <w:rPr>
        <w:rFonts w:ascii="Calibri" w:eastAsia="Times New Roman" w:hAnsi="Calibri" w:cs="Calibri"/>
        <w:b w:val="0"/>
        <w:i w:val="0"/>
        <w:strike w:val="0"/>
        <w:dstrike w:val="0"/>
        <w:color w:val="000000"/>
        <w:sz w:val="22"/>
        <w:szCs w:val="22"/>
        <w:u w:val="none" w:color="000000"/>
        <w:vertAlign w:val="baseline"/>
      </w:rPr>
    </w:lvl>
    <w:lvl w:ilvl="6" w:tplc="EC9CCF08">
      <w:start w:val="1"/>
      <w:numFmt w:val="decimal"/>
      <w:lvlText w:val="%7"/>
      <w:lvlJc w:val="left"/>
      <w:pPr>
        <w:ind w:left="5400"/>
      </w:pPr>
      <w:rPr>
        <w:rFonts w:ascii="Calibri" w:eastAsia="Times New Roman" w:hAnsi="Calibri" w:cs="Calibri"/>
        <w:b w:val="0"/>
        <w:i w:val="0"/>
        <w:strike w:val="0"/>
        <w:dstrike w:val="0"/>
        <w:color w:val="000000"/>
        <w:sz w:val="22"/>
        <w:szCs w:val="22"/>
        <w:u w:val="none" w:color="000000"/>
        <w:vertAlign w:val="baseline"/>
      </w:rPr>
    </w:lvl>
    <w:lvl w:ilvl="7" w:tplc="199015B8">
      <w:start w:val="1"/>
      <w:numFmt w:val="lowerLetter"/>
      <w:lvlText w:val="%8"/>
      <w:lvlJc w:val="left"/>
      <w:pPr>
        <w:ind w:left="6120"/>
      </w:pPr>
      <w:rPr>
        <w:rFonts w:ascii="Calibri" w:eastAsia="Times New Roman" w:hAnsi="Calibri" w:cs="Calibri"/>
        <w:b w:val="0"/>
        <w:i w:val="0"/>
        <w:strike w:val="0"/>
        <w:dstrike w:val="0"/>
        <w:color w:val="000000"/>
        <w:sz w:val="22"/>
        <w:szCs w:val="22"/>
        <w:u w:val="none" w:color="000000"/>
        <w:vertAlign w:val="baseline"/>
      </w:rPr>
    </w:lvl>
    <w:lvl w:ilvl="8" w:tplc="B08ECE08">
      <w:start w:val="1"/>
      <w:numFmt w:val="lowerRoman"/>
      <w:lvlText w:val="%9"/>
      <w:lvlJc w:val="left"/>
      <w:pPr>
        <w:ind w:left="6840"/>
      </w:pPr>
      <w:rPr>
        <w:rFonts w:ascii="Calibri" w:eastAsia="Times New Roman" w:hAnsi="Calibri" w:cs="Calibri"/>
        <w:b w:val="0"/>
        <w:i w:val="0"/>
        <w:strike w:val="0"/>
        <w:dstrike w:val="0"/>
        <w:color w:val="000000"/>
        <w:sz w:val="22"/>
        <w:szCs w:val="22"/>
        <w:u w:val="none" w:color="000000"/>
        <w:vertAlign w:val="baseline"/>
      </w:rPr>
    </w:lvl>
  </w:abstractNum>
  <w:abstractNum w:abstractNumId="4" w15:restartNumberingAfterBreak="0">
    <w:nsid w:val="182171B7"/>
    <w:multiLevelType w:val="hybridMultilevel"/>
    <w:tmpl w:val="A6383264"/>
    <w:lvl w:ilvl="0" w:tplc="99D4CBCA">
      <w:start w:val="15"/>
      <w:numFmt w:val="decimal"/>
      <w:lvlText w:val="%1."/>
      <w:lvlJc w:val="left"/>
      <w:pPr>
        <w:ind w:left="720"/>
      </w:pPr>
      <w:rPr>
        <w:rFonts w:ascii="Calibri" w:eastAsia="Times New Roman" w:hAnsi="Calibri" w:cs="Calibri"/>
        <w:b w:val="0"/>
        <w:i w:val="0"/>
        <w:strike w:val="0"/>
        <w:dstrike w:val="0"/>
        <w:color w:val="000000"/>
        <w:sz w:val="22"/>
        <w:szCs w:val="22"/>
        <w:u w:val="none" w:color="000000"/>
        <w:vertAlign w:val="baseline"/>
      </w:rPr>
    </w:lvl>
    <w:lvl w:ilvl="1" w:tplc="8B2EFFAA">
      <w:start w:val="1"/>
      <w:numFmt w:val="lowerLetter"/>
      <w:lvlText w:val="(%2)"/>
      <w:lvlJc w:val="left"/>
      <w:pPr>
        <w:ind w:left="1800"/>
      </w:pPr>
      <w:rPr>
        <w:rFonts w:hint="default"/>
        <w:b w:val="0"/>
        <w:i/>
        <w:strike w:val="0"/>
        <w:dstrike w:val="0"/>
        <w:color w:val="000000"/>
        <w:sz w:val="20"/>
        <w:szCs w:val="22"/>
        <w:u w:val="none" w:color="000000"/>
        <w:vertAlign w:val="baseline"/>
      </w:rPr>
    </w:lvl>
    <w:lvl w:ilvl="2" w:tplc="C4D48D64">
      <w:start w:val="1"/>
      <w:numFmt w:val="lowerRoman"/>
      <w:lvlText w:val="%3"/>
      <w:lvlJc w:val="left"/>
      <w:pPr>
        <w:ind w:left="2520"/>
      </w:pPr>
      <w:rPr>
        <w:rFonts w:ascii="Calibri" w:eastAsia="Times New Roman" w:hAnsi="Calibri" w:cs="Calibri"/>
        <w:b w:val="0"/>
        <w:i w:val="0"/>
        <w:strike w:val="0"/>
        <w:dstrike w:val="0"/>
        <w:color w:val="000000"/>
        <w:sz w:val="22"/>
        <w:szCs w:val="22"/>
        <w:u w:val="none" w:color="000000"/>
        <w:vertAlign w:val="baseline"/>
      </w:rPr>
    </w:lvl>
    <w:lvl w:ilvl="3" w:tplc="AD96D94E">
      <w:start w:val="1"/>
      <w:numFmt w:val="decimal"/>
      <w:lvlText w:val="%4"/>
      <w:lvlJc w:val="left"/>
      <w:pPr>
        <w:ind w:left="3240"/>
      </w:pPr>
      <w:rPr>
        <w:rFonts w:ascii="Calibri" w:eastAsia="Times New Roman" w:hAnsi="Calibri" w:cs="Calibri"/>
        <w:b w:val="0"/>
        <w:i w:val="0"/>
        <w:strike w:val="0"/>
        <w:dstrike w:val="0"/>
        <w:color w:val="000000"/>
        <w:sz w:val="22"/>
        <w:szCs w:val="22"/>
        <w:u w:val="none" w:color="000000"/>
        <w:vertAlign w:val="baseline"/>
      </w:rPr>
    </w:lvl>
    <w:lvl w:ilvl="4" w:tplc="18C0D51A">
      <w:start w:val="1"/>
      <w:numFmt w:val="lowerLetter"/>
      <w:lvlText w:val="%5"/>
      <w:lvlJc w:val="left"/>
      <w:pPr>
        <w:ind w:left="3960"/>
      </w:pPr>
      <w:rPr>
        <w:rFonts w:ascii="Calibri" w:eastAsia="Times New Roman" w:hAnsi="Calibri" w:cs="Calibri"/>
        <w:b w:val="0"/>
        <w:i w:val="0"/>
        <w:strike w:val="0"/>
        <w:dstrike w:val="0"/>
        <w:color w:val="000000"/>
        <w:sz w:val="22"/>
        <w:szCs w:val="22"/>
        <w:u w:val="none" w:color="000000"/>
        <w:vertAlign w:val="baseline"/>
      </w:rPr>
    </w:lvl>
    <w:lvl w:ilvl="5" w:tplc="EBEA07A6">
      <w:start w:val="1"/>
      <w:numFmt w:val="lowerRoman"/>
      <w:lvlText w:val="%6"/>
      <w:lvlJc w:val="left"/>
      <w:pPr>
        <w:ind w:left="4680"/>
      </w:pPr>
      <w:rPr>
        <w:rFonts w:ascii="Calibri" w:eastAsia="Times New Roman" w:hAnsi="Calibri" w:cs="Calibri"/>
        <w:b w:val="0"/>
        <w:i w:val="0"/>
        <w:strike w:val="0"/>
        <w:dstrike w:val="0"/>
        <w:color w:val="000000"/>
        <w:sz w:val="22"/>
        <w:szCs w:val="22"/>
        <w:u w:val="none" w:color="000000"/>
        <w:vertAlign w:val="baseline"/>
      </w:rPr>
    </w:lvl>
    <w:lvl w:ilvl="6" w:tplc="EC9CCF08">
      <w:start w:val="1"/>
      <w:numFmt w:val="decimal"/>
      <w:lvlText w:val="%7"/>
      <w:lvlJc w:val="left"/>
      <w:pPr>
        <w:ind w:left="5400"/>
      </w:pPr>
      <w:rPr>
        <w:rFonts w:ascii="Calibri" w:eastAsia="Times New Roman" w:hAnsi="Calibri" w:cs="Calibri"/>
        <w:b w:val="0"/>
        <w:i w:val="0"/>
        <w:strike w:val="0"/>
        <w:dstrike w:val="0"/>
        <w:color w:val="000000"/>
        <w:sz w:val="22"/>
        <w:szCs w:val="22"/>
        <w:u w:val="none" w:color="000000"/>
        <w:vertAlign w:val="baseline"/>
      </w:rPr>
    </w:lvl>
    <w:lvl w:ilvl="7" w:tplc="199015B8">
      <w:start w:val="1"/>
      <w:numFmt w:val="lowerLetter"/>
      <w:lvlText w:val="%8"/>
      <w:lvlJc w:val="left"/>
      <w:pPr>
        <w:ind w:left="6120"/>
      </w:pPr>
      <w:rPr>
        <w:rFonts w:ascii="Calibri" w:eastAsia="Times New Roman" w:hAnsi="Calibri" w:cs="Calibri"/>
        <w:b w:val="0"/>
        <w:i w:val="0"/>
        <w:strike w:val="0"/>
        <w:dstrike w:val="0"/>
        <w:color w:val="000000"/>
        <w:sz w:val="22"/>
        <w:szCs w:val="22"/>
        <w:u w:val="none" w:color="000000"/>
        <w:vertAlign w:val="baseline"/>
      </w:rPr>
    </w:lvl>
    <w:lvl w:ilvl="8" w:tplc="B08ECE08">
      <w:start w:val="1"/>
      <w:numFmt w:val="lowerRoman"/>
      <w:lvlText w:val="%9"/>
      <w:lvlJc w:val="left"/>
      <w:pPr>
        <w:ind w:left="6840"/>
      </w:pPr>
      <w:rPr>
        <w:rFonts w:ascii="Calibri" w:eastAsia="Times New Roman" w:hAnsi="Calibri" w:cs="Calibri"/>
        <w:b w:val="0"/>
        <w:i w:val="0"/>
        <w:strike w:val="0"/>
        <w:dstrike w:val="0"/>
        <w:color w:val="000000"/>
        <w:sz w:val="22"/>
        <w:szCs w:val="22"/>
        <w:u w:val="none" w:color="000000"/>
        <w:vertAlign w:val="baseline"/>
      </w:rPr>
    </w:lvl>
  </w:abstractNum>
  <w:abstractNum w:abstractNumId="5" w15:restartNumberingAfterBreak="0">
    <w:nsid w:val="192C55AD"/>
    <w:multiLevelType w:val="multilevel"/>
    <w:tmpl w:val="8A6E01F0"/>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C0D5E06"/>
    <w:multiLevelType w:val="hybridMultilevel"/>
    <w:tmpl w:val="9F5E4F7E"/>
    <w:lvl w:ilvl="0" w:tplc="E57A119C">
      <w:start w:val="1"/>
      <w:numFmt w:val="lowerLetter"/>
      <w:lvlText w:val="(%1)"/>
      <w:lvlJc w:val="left"/>
      <w:pPr>
        <w:ind w:left="1800"/>
      </w:pPr>
      <w:rPr>
        <w:rFonts w:ascii="Calibri" w:eastAsia="Times New Roman" w:hAnsi="Calibri" w:cs="Calibri"/>
        <w:b/>
        <w:i/>
        <w:strike w:val="0"/>
        <w:dstrike w:val="0"/>
        <w:color w:val="000000"/>
        <w:sz w:val="22"/>
        <w:szCs w:val="22"/>
        <w:u w:val="none" w:color="000000"/>
        <w:vertAlign w:val="baseline"/>
      </w:rPr>
    </w:lvl>
    <w:lvl w:ilvl="1" w:tplc="24DA0BA0">
      <w:start w:val="1"/>
      <w:numFmt w:val="lowerLetter"/>
      <w:lvlText w:val="%2"/>
      <w:lvlJc w:val="left"/>
      <w:pPr>
        <w:ind w:left="2431"/>
      </w:pPr>
      <w:rPr>
        <w:rFonts w:ascii="Calibri" w:eastAsia="Times New Roman" w:hAnsi="Calibri" w:cs="Calibri"/>
        <w:b w:val="0"/>
        <w:i w:val="0"/>
        <w:strike w:val="0"/>
        <w:dstrike w:val="0"/>
        <w:color w:val="000000"/>
        <w:sz w:val="22"/>
        <w:szCs w:val="22"/>
        <w:u w:val="none" w:color="000000"/>
        <w:vertAlign w:val="baseline"/>
      </w:rPr>
    </w:lvl>
    <w:lvl w:ilvl="2" w:tplc="48BA8BE2">
      <w:start w:val="1"/>
      <w:numFmt w:val="lowerRoman"/>
      <w:lvlText w:val="%3"/>
      <w:lvlJc w:val="left"/>
      <w:pPr>
        <w:ind w:left="3151"/>
      </w:pPr>
      <w:rPr>
        <w:rFonts w:ascii="Calibri" w:eastAsia="Times New Roman" w:hAnsi="Calibri" w:cs="Calibri"/>
        <w:b w:val="0"/>
        <w:i w:val="0"/>
        <w:strike w:val="0"/>
        <w:dstrike w:val="0"/>
        <w:color w:val="000000"/>
        <w:sz w:val="22"/>
        <w:szCs w:val="22"/>
        <w:u w:val="none" w:color="000000"/>
        <w:vertAlign w:val="baseline"/>
      </w:rPr>
    </w:lvl>
    <w:lvl w:ilvl="3" w:tplc="EF9E1414">
      <w:start w:val="1"/>
      <w:numFmt w:val="decimal"/>
      <w:lvlText w:val="%4"/>
      <w:lvlJc w:val="left"/>
      <w:pPr>
        <w:ind w:left="3871"/>
      </w:pPr>
      <w:rPr>
        <w:rFonts w:ascii="Calibri" w:eastAsia="Times New Roman" w:hAnsi="Calibri" w:cs="Calibri"/>
        <w:b w:val="0"/>
        <w:i w:val="0"/>
        <w:strike w:val="0"/>
        <w:dstrike w:val="0"/>
        <w:color w:val="000000"/>
        <w:sz w:val="22"/>
        <w:szCs w:val="22"/>
        <w:u w:val="none" w:color="000000"/>
        <w:vertAlign w:val="baseline"/>
      </w:rPr>
    </w:lvl>
    <w:lvl w:ilvl="4" w:tplc="9C96BA76">
      <w:start w:val="1"/>
      <w:numFmt w:val="lowerLetter"/>
      <w:lvlText w:val="%5"/>
      <w:lvlJc w:val="left"/>
      <w:pPr>
        <w:ind w:left="4591"/>
      </w:pPr>
      <w:rPr>
        <w:rFonts w:ascii="Calibri" w:eastAsia="Times New Roman" w:hAnsi="Calibri" w:cs="Calibri"/>
        <w:b w:val="0"/>
        <w:i w:val="0"/>
        <w:strike w:val="0"/>
        <w:dstrike w:val="0"/>
        <w:color w:val="000000"/>
        <w:sz w:val="22"/>
        <w:szCs w:val="22"/>
        <w:u w:val="none" w:color="000000"/>
        <w:vertAlign w:val="baseline"/>
      </w:rPr>
    </w:lvl>
    <w:lvl w:ilvl="5" w:tplc="D41E43C0">
      <w:start w:val="1"/>
      <w:numFmt w:val="lowerRoman"/>
      <w:lvlText w:val="%6"/>
      <w:lvlJc w:val="left"/>
      <w:pPr>
        <w:ind w:left="5311"/>
      </w:pPr>
      <w:rPr>
        <w:rFonts w:ascii="Calibri" w:eastAsia="Times New Roman" w:hAnsi="Calibri" w:cs="Calibri"/>
        <w:b w:val="0"/>
        <w:i w:val="0"/>
        <w:strike w:val="0"/>
        <w:dstrike w:val="0"/>
        <w:color w:val="000000"/>
        <w:sz w:val="22"/>
        <w:szCs w:val="22"/>
        <w:u w:val="none" w:color="000000"/>
        <w:vertAlign w:val="baseline"/>
      </w:rPr>
    </w:lvl>
    <w:lvl w:ilvl="6" w:tplc="888247AA">
      <w:start w:val="1"/>
      <w:numFmt w:val="decimal"/>
      <w:lvlText w:val="%7"/>
      <w:lvlJc w:val="left"/>
      <w:pPr>
        <w:ind w:left="6031"/>
      </w:pPr>
      <w:rPr>
        <w:rFonts w:ascii="Calibri" w:eastAsia="Times New Roman" w:hAnsi="Calibri" w:cs="Calibri"/>
        <w:b w:val="0"/>
        <w:i w:val="0"/>
        <w:strike w:val="0"/>
        <w:dstrike w:val="0"/>
        <w:color w:val="000000"/>
        <w:sz w:val="22"/>
        <w:szCs w:val="22"/>
        <w:u w:val="none" w:color="000000"/>
        <w:vertAlign w:val="baseline"/>
      </w:rPr>
    </w:lvl>
    <w:lvl w:ilvl="7" w:tplc="9C32DBBE">
      <w:start w:val="1"/>
      <w:numFmt w:val="lowerLetter"/>
      <w:lvlText w:val="%8"/>
      <w:lvlJc w:val="left"/>
      <w:pPr>
        <w:ind w:left="6751"/>
      </w:pPr>
      <w:rPr>
        <w:rFonts w:ascii="Calibri" w:eastAsia="Times New Roman" w:hAnsi="Calibri" w:cs="Calibri"/>
        <w:b w:val="0"/>
        <w:i w:val="0"/>
        <w:strike w:val="0"/>
        <w:dstrike w:val="0"/>
        <w:color w:val="000000"/>
        <w:sz w:val="22"/>
        <w:szCs w:val="22"/>
        <w:u w:val="none" w:color="000000"/>
        <w:vertAlign w:val="baseline"/>
      </w:rPr>
    </w:lvl>
    <w:lvl w:ilvl="8" w:tplc="C560A3E6">
      <w:start w:val="1"/>
      <w:numFmt w:val="lowerRoman"/>
      <w:lvlText w:val="%9"/>
      <w:lvlJc w:val="left"/>
      <w:pPr>
        <w:ind w:left="7471"/>
      </w:pPr>
      <w:rPr>
        <w:rFonts w:ascii="Calibri" w:eastAsia="Times New Roman" w:hAnsi="Calibri" w:cs="Calibri"/>
        <w:b w:val="0"/>
        <w:i w:val="0"/>
        <w:strike w:val="0"/>
        <w:dstrike w:val="0"/>
        <w:color w:val="000000"/>
        <w:sz w:val="22"/>
        <w:szCs w:val="22"/>
        <w:u w:val="none" w:color="000000"/>
        <w:vertAlign w:val="baseline"/>
      </w:rPr>
    </w:lvl>
  </w:abstractNum>
  <w:abstractNum w:abstractNumId="7" w15:restartNumberingAfterBreak="0">
    <w:nsid w:val="2E5C44DC"/>
    <w:multiLevelType w:val="hybridMultilevel"/>
    <w:tmpl w:val="B5E23B90"/>
    <w:lvl w:ilvl="0" w:tplc="6F8813CC">
      <w:start w:val="4"/>
      <w:numFmt w:val="decimal"/>
      <w:lvlText w:val="%1."/>
      <w:lvlJc w:val="left"/>
      <w:pPr>
        <w:ind w:left="10"/>
      </w:pPr>
      <w:rPr>
        <w:rFonts w:ascii="Calibri" w:eastAsia="Times New Roman" w:hAnsi="Calibri" w:cs="Calibri"/>
        <w:b w:val="0"/>
        <w:i w:val="0"/>
        <w:strike w:val="0"/>
        <w:dstrike w:val="0"/>
        <w:color w:val="000000"/>
        <w:sz w:val="22"/>
        <w:szCs w:val="22"/>
        <w:u w:val="none" w:color="000000"/>
        <w:vertAlign w:val="baseline"/>
      </w:rPr>
    </w:lvl>
    <w:lvl w:ilvl="1" w:tplc="8B2EFFAA">
      <w:start w:val="1"/>
      <w:numFmt w:val="lowerLetter"/>
      <w:lvlText w:val="(%2)"/>
      <w:lvlJc w:val="left"/>
      <w:pPr>
        <w:ind w:left="1440"/>
      </w:pPr>
      <w:rPr>
        <w:rFonts w:hint="default"/>
        <w:b w:val="0"/>
        <w:i/>
        <w:strike w:val="0"/>
        <w:dstrike w:val="0"/>
        <w:color w:val="000000"/>
        <w:sz w:val="20"/>
        <w:szCs w:val="22"/>
        <w:u w:val="none" w:color="000000"/>
        <w:vertAlign w:val="baseline"/>
      </w:rPr>
    </w:lvl>
    <w:lvl w:ilvl="2" w:tplc="1922746C">
      <w:start w:val="1"/>
      <w:numFmt w:val="lowerRoman"/>
      <w:lvlText w:val="%3"/>
      <w:lvlJc w:val="left"/>
      <w:pPr>
        <w:ind w:left="2160"/>
      </w:pPr>
      <w:rPr>
        <w:rFonts w:ascii="Calibri" w:eastAsia="Times New Roman" w:hAnsi="Calibri" w:cs="Calibri"/>
        <w:b w:val="0"/>
        <w:i w:val="0"/>
        <w:strike w:val="0"/>
        <w:dstrike w:val="0"/>
        <w:color w:val="000000"/>
        <w:sz w:val="22"/>
        <w:szCs w:val="22"/>
        <w:u w:val="none" w:color="000000"/>
        <w:vertAlign w:val="baseline"/>
      </w:rPr>
    </w:lvl>
    <w:lvl w:ilvl="3" w:tplc="C28AC4F6">
      <w:start w:val="1"/>
      <w:numFmt w:val="decimal"/>
      <w:lvlText w:val="%4"/>
      <w:lvlJc w:val="left"/>
      <w:pPr>
        <w:ind w:left="2880"/>
      </w:pPr>
      <w:rPr>
        <w:rFonts w:ascii="Calibri" w:eastAsia="Times New Roman" w:hAnsi="Calibri" w:cs="Calibri"/>
        <w:b w:val="0"/>
        <w:i w:val="0"/>
        <w:strike w:val="0"/>
        <w:dstrike w:val="0"/>
        <w:color w:val="000000"/>
        <w:sz w:val="22"/>
        <w:szCs w:val="22"/>
        <w:u w:val="none" w:color="000000"/>
        <w:vertAlign w:val="baseline"/>
      </w:rPr>
    </w:lvl>
    <w:lvl w:ilvl="4" w:tplc="BF76B55E">
      <w:start w:val="1"/>
      <w:numFmt w:val="lowerLetter"/>
      <w:lvlText w:val="%5"/>
      <w:lvlJc w:val="left"/>
      <w:pPr>
        <w:ind w:left="3600"/>
      </w:pPr>
      <w:rPr>
        <w:rFonts w:ascii="Calibri" w:eastAsia="Times New Roman" w:hAnsi="Calibri" w:cs="Calibri"/>
        <w:b w:val="0"/>
        <w:i w:val="0"/>
        <w:strike w:val="0"/>
        <w:dstrike w:val="0"/>
        <w:color w:val="000000"/>
        <w:sz w:val="22"/>
        <w:szCs w:val="22"/>
        <w:u w:val="none" w:color="000000"/>
        <w:vertAlign w:val="baseline"/>
      </w:rPr>
    </w:lvl>
    <w:lvl w:ilvl="5" w:tplc="7408B838">
      <w:start w:val="1"/>
      <w:numFmt w:val="lowerRoman"/>
      <w:lvlText w:val="%6"/>
      <w:lvlJc w:val="left"/>
      <w:pPr>
        <w:ind w:left="4320"/>
      </w:pPr>
      <w:rPr>
        <w:rFonts w:ascii="Calibri" w:eastAsia="Times New Roman" w:hAnsi="Calibri" w:cs="Calibri"/>
        <w:b w:val="0"/>
        <w:i w:val="0"/>
        <w:strike w:val="0"/>
        <w:dstrike w:val="0"/>
        <w:color w:val="000000"/>
        <w:sz w:val="22"/>
        <w:szCs w:val="22"/>
        <w:u w:val="none" w:color="000000"/>
        <w:vertAlign w:val="baseline"/>
      </w:rPr>
    </w:lvl>
    <w:lvl w:ilvl="6" w:tplc="BB0A215E">
      <w:start w:val="1"/>
      <w:numFmt w:val="decimal"/>
      <w:lvlText w:val="%7"/>
      <w:lvlJc w:val="left"/>
      <w:pPr>
        <w:ind w:left="5040"/>
      </w:pPr>
      <w:rPr>
        <w:rFonts w:ascii="Calibri" w:eastAsia="Times New Roman" w:hAnsi="Calibri" w:cs="Calibri"/>
        <w:b w:val="0"/>
        <w:i w:val="0"/>
        <w:strike w:val="0"/>
        <w:dstrike w:val="0"/>
        <w:color w:val="000000"/>
        <w:sz w:val="22"/>
        <w:szCs w:val="22"/>
        <w:u w:val="none" w:color="000000"/>
        <w:vertAlign w:val="baseline"/>
      </w:rPr>
    </w:lvl>
    <w:lvl w:ilvl="7" w:tplc="9E743926">
      <w:start w:val="1"/>
      <w:numFmt w:val="lowerLetter"/>
      <w:lvlText w:val="%8"/>
      <w:lvlJc w:val="left"/>
      <w:pPr>
        <w:ind w:left="5760"/>
      </w:pPr>
      <w:rPr>
        <w:rFonts w:ascii="Calibri" w:eastAsia="Times New Roman" w:hAnsi="Calibri" w:cs="Calibri"/>
        <w:b w:val="0"/>
        <w:i w:val="0"/>
        <w:strike w:val="0"/>
        <w:dstrike w:val="0"/>
        <w:color w:val="000000"/>
        <w:sz w:val="22"/>
        <w:szCs w:val="22"/>
        <w:u w:val="none" w:color="000000"/>
        <w:vertAlign w:val="baseline"/>
      </w:rPr>
    </w:lvl>
    <w:lvl w:ilvl="8" w:tplc="C99CF9F0">
      <w:start w:val="1"/>
      <w:numFmt w:val="lowerRoman"/>
      <w:lvlText w:val="%9"/>
      <w:lvlJc w:val="left"/>
      <w:pPr>
        <w:ind w:left="6480"/>
      </w:pPr>
      <w:rPr>
        <w:rFonts w:ascii="Calibri" w:eastAsia="Times New Roman" w:hAnsi="Calibri" w:cs="Calibri"/>
        <w:b w:val="0"/>
        <w:i w:val="0"/>
        <w:strike w:val="0"/>
        <w:dstrike w:val="0"/>
        <w:color w:val="000000"/>
        <w:sz w:val="22"/>
        <w:szCs w:val="22"/>
        <w:u w:val="none" w:color="000000"/>
        <w:vertAlign w:val="baseline"/>
      </w:rPr>
    </w:lvl>
  </w:abstractNum>
  <w:abstractNum w:abstractNumId="8" w15:restartNumberingAfterBreak="0">
    <w:nsid w:val="3D940CED"/>
    <w:multiLevelType w:val="hybridMultilevel"/>
    <w:tmpl w:val="245C56F2"/>
    <w:lvl w:ilvl="0" w:tplc="95A0BD3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A145C"/>
    <w:multiLevelType w:val="hybridMultilevel"/>
    <w:tmpl w:val="033A1992"/>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7373F"/>
    <w:multiLevelType w:val="hybridMultilevel"/>
    <w:tmpl w:val="50F4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469BF"/>
    <w:multiLevelType w:val="multilevel"/>
    <w:tmpl w:val="0E6E08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0F2F34"/>
    <w:multiLevelType w:val="hybridMultilevel"/>
    <w:tmpl w:val="1700CE36"/>
    <w:lvl w:ilvl="0" w:tplc="6F8813CC">
      <w:start w:val="4"/>
      <w:numFmt w:val="decimal"/>
      <w:lvlText w:val="%1."/>
      <w:lvlJc w:val="left"/>
      <w:pPr>
        <w:ind w:left="10"/>
      </w:pPr>
      <w:rPr>
        <w:rFonts w:ascii="Calibri" w:eastAsia="Times New Roman" w:hAnsi="Calibri" w:cs="Calibri"/>
        <w:b w:val="0"/>
        <w:i w:val="0"/>
        <w:strike w:val="0"/>
        <w:dstrike w:val="0"/>
        <w:color w:val="000000"/>
        <w:sz w:val="22"/>
        <w:szCs w:val="22"/>
        <w:u w:val="none" w:color="000000"/>
        <w:vertAlign w:val="baseline"/>
      </w:rPr>
    </w:lvl>
    <w:lvl w:ilvl="1" w:tplc="7D60572C">
      <w:start w:val="1"/>
      <w:numFmt w:val="lowerLetter"/>
      <w:lvlText w:val="(%2)"/>
      <w:lvlJc w:val="left"/>
      <w:pPr>
        <w:ind w:left="1440"/>
      </w:pPr>
      <w:rPr>
        <w:rFonts w:ascii="Calibri" w:eastAsia="Times New Roman" w:hAnsi="Calibri" w:cs="Calibri"/>
        <w:b/>
        <w:i/>
        <w:strike w:val="0"/>
        <w:dstrike w:val="0"/>
        <w:color w:val="000000"/>
        <w:sz w:val="22"/>
        <w:szCs w:val="22"/>
        <w:u w:val="none" w:color="000000"/>
        <w:vertAlign w:val="baseline"/>
      </w:rPr>
    </w:lvl>
    <w:lvl w:ilvl="2" w:tplc="1922746C">
      <w:start w:val="1"/>
      <w:numFmt w:val="lowerRoman"/>
      <w:lvlText w:val="%3"/>
      <w:lvlJc w:val="left"/>
      <w:pPr>
        <w:ind w:left="2160"/>
      </w:pPr>
      <w:rPr>
        <w:rFonts w:ascii="Calibri" w:eastAsia="Times New Roman" w:hAnsi="Calibri" w:cs="Calibri"/>
        <w:b w:val="0"/>
        <w:i w:val="0"/>
        <w:strike w:val="0"/>
        <w:dstrike w:val="0"/>
        <w:color w:val="000000"/>
        <w:sz w:val="22"/>
        <w:szCs w:val="22"/>
        <w:u w:val="none" w:color="000000"/>
        <w:vertAlign w:val="baseline"/>
      </w:rPr>
    </w:lvl>
    <w:lvl w:ilvl="3" w:tplc="C28AC4F6">
      <w:start w:val="1"/>
      <w:numFmt w:val="decimal"/>
      <w:lvlText w:val="%4"/>
      <w:lvlJc w:val="left"/>
      <w:pPr>
        <w:ind w:left="2880"/>
      </w:pPr>
      <w:rPr>
        <w:rFonts w:ascii="Calibri" w:eastAsia="Times New Roman" w:hAnsi="Calibri" w:cs="Calibri"/>
        <w:b w:val="0"/>
        <w:i w:val="0"/>
        <w:strike w:val="0"/>
        <w:dstrike w:val="0"/>
        <w:color w:val="000000"/>
        <w:sz w:val="22"/>
        <w:szCs w:val="22"/>
        <w:u w:val="none" w:color="000000"/>
        <w:vertAlign w:val="baseline"/>
      </w:rPr>
    </w:lvl>
    <w:lvl w:ilvl="4" w:tplc="BF76B55E">
      <w:start w:val="1"/>
      <w:numFmt w:val="lowerLetter"/>
      <w:lvlText w:val="%5"/>
      <w:lvlJc w:val="left"/>
      <w:pPr>
        <w:ind w:left="3600"/>
      </w:pPr>
      <w:rPr>
        <w:rFonts w:ascii="Calibri" w:eastAsia="Times New Roman" w:hAnsi="Calibri" w:cs="Calibri"/>
        <w:b w:val="0"/>
        <w:i w:val="0"/>
        <w:strike w:val="0"/>
        <w:dstrike w:val="0"/>
        <w:color w:val="000000"/>
        <w:sz w:val="22"/>
        <w:szCs w:val="22"/>
        <w:u w:val="none" w:color="000000"/>
        <w:vertAlign w:val="baseline"/>
      </w:rPr>
    </w:lvl>
    <w:lvl w:ilvl="5" w:tplc="7408B838">
      <w:start w:val="1"/>
      <w:numFmt w:val="lowerRoman"/>
      <w:lvlText w:val="%6"/>
      <w:lvlJc w:val="left"/>
      <w:pPr>
        <w:ind w:left="4320"/>
      </w:pPr>
      <w:rPr>
        <w:rFonts w:ascii="Calibri" w:eastAsia="Times New Roman" w:hAnsi="Calibri" w:cs="Calibri"/>
        <w:b w:val="0"/>
        <w:i w:val="0"/>
        <w:strike w:val="0"/>
        <w:dstrike w:val="0"/>
        <w:color w:val="000000"/>
        <w:sz w:val="22"/>
        <w:szCs w:val="22"/>
        <w:u w:val="none" w:color="000000"/>
        <w:vertAlign w:val="baseline"/>
      </w:rPr>
    </w:lvl>
    <w:lvl w:ilvl="6" w:tplc="BB0A215E">
      <w:start w:val="1"/>
      <w:numFmt w:val="decimal"/>
      <w:lvlText w:val="%7"/>
      <w:lvlJc w:val="left"/>
      <w:pPr>
        <w:ind w:left="5040"/>
      </w:pPr>
      <w:rPr>
        <w:rFonts w:ascii="Calibri" w:eastAsia="Times New Roman" w:hAnsi="Calibri" w:cs="Calibri"/>
        <w:b w:val="0"/>
        <w:i w:val="0"/>
        <w:strike w:val="0"/>
        <w:dstrike w:val="0"/>
        <w:color w:val="000000"/>
        <w:sz w:val="22"/>
        <w:szCs w:val="22"/>
        <w:u w:val="none" w:color="000000"/>
        <w:vertAlign w:val="baseline"/>
      </w:rPr>
    </w:lvl>
    <w:lvl w:ilvl="7" w:tplc="9E743926">
      <w:start w:val="1"/>
      <w:numFmt w:val="lowerLetter"/>
      <w:lvlText w:val="%8"/>
      <w:lvlJc w:val="left"/>
      <w:pPr>
        <w:ind w:left="5760"/>
      </w:pPr>
      <w:rPr>
        <w:rFonts w:ascii="Calibri" w:eastAsia="Times New Roman" w:hAnsi="Calibri" w:cs="Calibri"/>
        <w:b w:val="0"/>
        <w:i w:val="0"/>
        <w:strike w:val="0"/>
        <w:dstrike w:val="0"/>
        <w:color w:val="000000"/>
        <w:sz w:val="22"/>
        <w:szCs w:val="22"/>
        <w:u w:val="none" w:color="000000"/>
        <w:vertAlign w:val="baseline"/>
      </w:rPr>
    </w:lvl>
    <w:lvl w:ilvl="8" w:tplc="C99CF9F0">
      <w:start w:val="1"/>
      <w:numFmt w:val="lowerRoman"/>
      <w:lvlText w:val="%9"/>
      <w:lvlJc w:val="left"/>
      <w:pPr>
        <w:ind w:left="6480"/>
      </w:pPr>
      <w:rPr>
        <w:rFonts w:ascii="Calibri" w:eastAsia="Times New Roman" w:hAnsi="Calibri" w:cs="Calibri"/>
        <w:b w:val="0"/>
        <w:i w:val="0"/>
        <w:strike w:val="0"/>
        <w:dstrike w:val="0"/>
        <w:color w:val="000000"/>
        <w:sz w:val="22"/>
        <w:szCs w:val="22"/>
        <w:u w:val="none" w:color="000000"/>
        <w:vertAlign w:val="baseline"/>
      </w:rPr>
    </w:lvl>
  </w:abstractNum>
  <w:abstractNum w:abstractNumId="13" w15:restartNumberingAfterBreak="0">
    <w:nsid w:val="549F18FC"/>
    <w:multiLevelType w:val="hybridMultilevel"/>
    <w:tmpl w:val="50100B60"/>
    <w:lvl w:ilvl="0" w:tplc="7A38313E">
      <w:start w:val="1"/>
      <w:numFmt w:val="bullet"/>
      <w:lvlText w:val=""/>
      <w:lvlJc w:val="left"/>
      <w:pPr>
        <w:ind w:left="1080" w:hanging="360"/>
      </w:pPr>
      <w:rPr>
        <w:rFonts w:ascii="Symbol" w:hAnsi="Symbol" w:cs="Symbol"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D0894"/>
    <w:multiLevelType w:val="hybridMultilevel"/>
    <w:tmpl w:val="54909FAC"/>
    <w:lvl w:ilvl="0" w:tplc="04090001">
      <w:start w:val="1"/>
      <w:numFmt w:val="bullet"/>
      <w:lvlText w:val=""/>
      <w:lvlJc w:val="left"/>
      <w:pPr>
        <w:ind w:left="720" w:hanging="360"/>
      </w:pPr>
      <w:rPr>
        <w:rFonts w:ascii="Symbol" w:hAnsi="Symbol" w:hint="default"/>
      </w:rPr>
    </w:lvl>
    <w:lvl w:ilvl="1" w:tplc="F4F60C1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C51F1"/>
    <w:multiLevelType w:val="hybridMultilevel"/>
    <w:tmpl w:val="7206B490"/>
    <w:lvl w:ilvl="0" w:tplc="ACD884F8">
      <w:start w:val="1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BC683A"/>
    <w:multiLevelType w:val="hybridMultilevel"/>
    <w:tmpl w:val="6C9C1208"/>
    <w:lvl w:ilvl="0" w:tplc="8B2EFFAA">
      <w:start w:val="1"/>
      <w:numFmt w:val="lowerLetter"/>
      <w:lvlText w:val="(%1)"/>
      <w:lvlJc w:val="left"/>
      <w:pPr>
        <w:ind w:left="1800"/>
      </w:pPr>
      <w:rPr>
        <w:rFonts w:hint="default"/>
        <w:b w:val="0"/>
        <w:i/>
        <w:strike w:val="0"/>
        <w:dstrike w:val="0"/>
        <w:color w:val="000000"/>
        <w:sz w:val="20"/>
        <w:szCs w:val="22"/>
        <w:u w:val="none" w:color="000000"/>
        <w:vertAlign w:val="baseline"/>
      </w:rPr>
    </w:lvl>
    <w:lvl w:ilvl="1" w:tplc="24DA0BA0">
      <w:start w:val="1"/>
      <w:numFmt w:val="lowerLetter"/>
      <w:lvlText w:val="%2"/>
      <w:lvlJc w:val="left"/>
      <w:pPr>
        <w:ind w:left="2431"/>
      </w:pPr>
      <w:rPr>
        <w:rFonts w:ascii="Calibri" w:eastAsia="Times New Roman" w:hAnsi="Calibri" w:cs="Calibri"/>
        <w:b w:val="0"/>
        <w:i w:val="0"/>
        <w:strike w:val="0"/>
        <w:dstrike w:val="0"/>
        <w:color w:val="000000"/>
        <w:sz w:val="22"/>
        <w:szCs w:val="22"/>
        <w:u w:val="none" w:color="000000"/>
        <w:vertAlign w:val="baseline"/>
      </w:rPr>
    </w:lvl>
    <w:lvl w:ilvl="2" w:tplc="48BA8BE2">
      <w:start w:val="1"/>
      <w:numFmt w:val="lowerRoman"/>
      <w:lvlText w:val="%3"/>
      <w:lvlJc w:val="left"/>
      <w:pPr>
        <w:ind w:left="3151"/>
      </w:pPr>
      <w:rPr>
        <w:rFonts w:ascii="Calibri" w:eastAsia="Times New Roman" w:hAnsi="Calibri" w:cs="Calibri"/>
        <w:b w:val="0"/>
        <w:i w:val="0"/>
        <w:strike w:val="0"/>
        <w:dstrike w:val="0"/>
        <w:color w:val="000000"/>
        <w:sz w:val="22"/>
        <w:szCs w:val="22"/>
        <w:u w:val="none" w:color="000000"/>
        <w:vertAlign w:val="baseline"/>
      </w:rPr>
    </w:lvl>
    <w:lvl w:ilvl="3" w:tplc="EF9E1414">
      <w:start w:val="1"/>
      <w:numFmt w:val="decimal"/>
      <w:lvlText w:val="%4"/>
      <w:lvlJc w:val="left"/>
      <w:pPr>
        <w:ind w:left="3871"/>
      </w:pPr>
      <w:rPr>
        <w:rFonts w:ascii="Calibri" w:eastAsia="Times New Roman" w:hAnsi="Calibri" w:cs="Calibri"/>
        <w:b w:val="0"/>
        <w:i w:val="0"/>
        <w:strike w:val="0"/>
        <w:dstrike w:val="0"/>
        <w:color w:val="000000"/>
        <w:sz w:val="22"/>
        <w:szCs w:val="22"/>
        <w:u w:val="none" w:color="000000"/>
        <w:vertAlign w:val="baseline"/>
      </w:rPr>
    </w:lvl>
    <w:lvl w:ilvl="4" w:tplc="9C96BA76">
      <w:start w:val="1"/>
      <w:numFmt w:val="lowerLetter"/>
      <w:lvlText w:val="%5"/>
      <w:lvlJc w:val="left"/>
      <w:pPr>
        <w:ind w:left="4591"/>
      </w:pPr>
      <w:rPr>
        <w:rFonts w:ascii="Calibri" w:eastAsia="Times New Roman" w:hAnsi="Calibri" w:cs="Calibri"/>
        <w:b w:val="0"/>
        <w:i w:val="0"/>
        <w:strike w:val="0"/>
        <w:dstrike w:val="0"/>
        <w:color w:val="000000"/>
        <w:sz w:val="22"/>
        <w:szCs w:val="22"/>
        <w:u w:val="none" w:color="000000"/>
        <w:vertAlign w:val="baseline"/>
      </w:rPr>
    </w:lvl>
    <w:lvl w:ilvl="5" w:tplc="D41E43C0">
      <w:start w:val="1"/>
      <w:numFmt w:val="lowerRoman"/>
      <w:lvlText w:val="%6"/>
      <w:lvlJc w:val="left"/>
      <w:pPr>
        <w:ind w:left="5311"/>
      </w:pPr>
      <w:rPr>
        <w:rFonts w:ascii="Calibri" w:eastAsia="Times New Roman" w:hAnsi="Calibri" w:cs="Calibri"/>
        <w:b w:val="0"/>
        <w:i w:val="0"/>
        <w:strike w:val="0"/>
        <w:dstrike w:val="0"/>
        <w:color w:val="000000"/>
        <w:sz w:val="22"/>
        <w:szCs w:val="22"/>
        <w:u w:val="none" w:color="000000"/>
        <w:vertAlign w:val="baseline"/>
      </w:rPr>
    </w:lvl>
    <w:lvl w:ilvl="6" w:tplc="888247AA">
      <w:start w:val="1"/>
      <w:numFmt w:val="decimal"/>
      <w:lvlText w:val="%7"/>
      <w:lvlJc w:val="left"/>
      <w:pPr>
        <w:ind w:left="6031"/>
      </w:pPr>
      <w:rPr>
        <w:rFonts w:ascii="Calibri" w:eastAsia="Times New Roman" w:hAnsi="Calibri" w:cs="Calibri"/>
        <w:b w:val="0"/>
        <w:i w:val="0"/>
        <w:strike w:val="0"/>
        <w:dstrike w:val="0"/>
        <w:color w:val="000000"/>
        <w:sz w:val="22"/>
        <w:szCs w:val="22"/>
        <w:u w:val="none" w:color="000000"/>
        <w:vertAlign w:val="baseline"/>
      </w:rPr>
    </w:lvl>
    <w:lvl w:ilvl="7" w:tplc="9C32DBBE">
      <w:start w:val="1"/>
      <w:numFmt w:val="lowerLetter"/>
      <w:lvlText w:val="%8"/>
      <w:lvlJc w:val="left"/>
      <w:pPr>
        <w:ind w:left="6751"/>
      </w:pPr>
      <w:rPr>
        <w:rFonts w:ascii="Calibri" w:eastAsia="Times New Roman" w:hAnsi="Calibri" w:cs="Calibri"/>
        <w:b w:val="0"/>
        <w:i w:val="0"/>
        <w:strike w:val="0"/>
        <w:dstrike w:val="0"/>
        <w:color w:val="000000"/>
        <w:sz w:val="22"/>
        <w:szCs w:val="22"/>
        <w:u w:val="none" w:color="000000"/>
        <w:vertAlign w:val="baseline"/>
      </w:rPr>
    </w:lvl>
    <w:lvl w:ilvl="8" w:tplc="C560A3E6">
      <w:start w:val="1"/>
      <w:numFmt w:val="lowerRoman"/>
      <w:lvlText w:val="%9"/>
      <w:lvlJc w:val="left"/>
      <w:pPr>
        <w:ind w:left="7471"/>
      </w:pPr>
      <w:rPr>
        <w:rFonts w:ascii="Calibri" w:eastAsia="Times New Roman" w:hAnsi="Calibri" w:cs="Calibri"/>
        <w:b w:val="0"/>
        <w:i w:val="0"/>
        <w:strike w:val="0"/>
        <w:dstrike w:val="0"/>
        <w:color w:val="000000"/>
        <w:sz w:val="22"/>
        <w:szCs w:val="22"/>
        <w:u w:val="none" w:color="000000"/>
        <w:vertAlign w:val="baseline"/>
      </w:rPr>
    </w:lvl>
  </w:abstractNum>
  <w:abstractNum w:abstractNumId="17" w15:restartNumberingAfterBreak="0">
    <w:nsid w:val="79FE6330"/>
    <w:multiLevelType w:val="hybridMultilevel"/>
    <w:tmpl w:val="0110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74CDE"/>
    <w:multiLevelType w:val="hybridMultilevel"/>
    <w:tmpl w:val="9406386E"/>
    <w:lvl w:ilvl="0" w:tplc="C5D4E700">
      <w:start w:val="1"/>
      <w:numFmt w:val="decimal"/>
      <w:pStyle w:val="ESSpara"/>
      <w:lvlText w:val="%1."/>
      <w:lvlJc w:val="left"/>
      <w:pPr>
        <w:ind w:left="4680" w:hanging="360"/>
      </w:pPr>
      <w:rPr>
        <w:rFonts w:asciiTheme="minorHAnsi" w:hAnsiTheme="minorHAnsi" w:hint="default"/>
        <w:b w:val="0"/>
        <w:bCs/>
        <w:i/>
        <w:iCs/>
        <w:color w:val="auto"/>
        <w:sz w:val="20"/>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D6ABB"/>
    <w:multiLevelType w:val="hybridMultilevel"/>
    <w:tmpl w:val="B4941448"/>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20"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18"/>
  </w:num>
  <w:num w:numId="2">
    <w:abstractNumId w:val="9"/>
  </w:num>
  <w:num w:numId="3">
    <w:abstractNumId w:val="5"/>
  </w:num>
  <w:num w:numId="4">
    <w:abstractNumId w:val="20"/>
  </w:num>
  <w:num w:numId="5">
    <w:abstractNumId w:val="13"/>
  </w:num>
  <w:num w:numId="6">
    <w:abstractNumId w:val="12"/>
  </w:num>
  <w:num w:numId="7">
    <w:abstractNumId w:val="1"/>
  </w:num>
  <w:num w:numId="8">
    <w:abstractNumId w:val="18"/>
    <w:lvlOverride w:ilvl="0">
      <w:startOverride w:val="7"/>
    </w:lvlOverride>
  </w:num>
  <w:num w:numId="9">
    <w:abstractNumId w:val="6"/>
  </w:num>
  <w:num w:numId="10">
    <w:abstractNumId w:val="0"/>
  </w:num>
  <w:num w:numId="11">
    <w:abstractNumId w:val="2"/>
  </w:num>
  <w:num w:numId="12">
    <w:abstractNumId w:val="3"/>
  </w:num>
  <w:num w:numId="13">
    <w:abstractNumId w:val="15"/>
  </w:num>
  <w:num w:numId="14">
    <w:abstractNumId w:val="10"/>
  </w:num>
  <w:num w:numId="15">
    <w:abstractNumId w:val="8"/>
  </w:num>
  <w:num w:numId="16">
    <w:abstractNumId w:val="14"/>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7"/>
  </w:num>
  <w:num w:numId="31">
    <w:abstractNumId w:val="16"/>
  </w:num>
  <w:num w:numId="32">
    <w:abstractNumId w:val="17"/>
  </w:num>
  <w:num w:numId="3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2B"/>
    <w:rsid w:val="00000042"/>
    <w:rsid w:val="00002E42"/>
    <w:rsid w:val="00003993"/>
    <w:rsid w:val="00003BE9"/>
    <w:rsid w:val="00003DF1"/>
    <w:rsid w:val="000119A9"/>
    <w:rsid w:val="00011E02"/>
    <w:rsid w:val="00012C36"/>
    <w:rsid w:val="00015093"/>
    <w:rsid w:val="00022625"/>
    <w:rsid w:val="00031A50"/>
    <w:rsid w:val="00033122"/>
    <w:rsid w:val="00036C59"/>
    <w:rsid w:val="00037239"/>
    <w:rsid w:val="0004155A"/>
    <w:rsid w:val="00043A72"/>
    <w:rsid w:val="00044DDC"/>
    <w:rsid w:val="0004599E"/>
    <w:rsid w:val="000460AD"/>
    <w:rsid w:val="00050682"/>
    <w:rsid w:val="00052616"/>
    <w:rsid w:val="000532CD"/>
    <w:rsid w:val="00053B63"/>
    <w:rsid w:val="00053DA1"/>
    <w:rsid w:val="00060170"/>
    <w:rsid w:val="00066A06"/>
    <w:rsid w:val="00072A88"/>
    <w:rsid w:val="0007308A"/>
    <w:rsid w:val="0007319B"/>
    <w:rsid w:val="0007433C"/>
    <w:rsid w:val="000744DC"/>
    <w:rsid w:val="00076714"/>
    <w:rsid w:val="00080463"/>
    <w:rsid w:val="00080B12"/>
    <w:rsid w:val="00085794"/>
    <w:rsid w:val="000903CB"/>
    <w:rsid w:val="0009048B"/>
    <w:rsid w:val="00094744"/>
    <w:rsid w:val="00096664"/>
    <w:rsid w:val="000A34ED"/>
    <w:rsid w:val="000A5965"/>
    <w:rsid w:val="000A6040"/>
    <w:rsid w:val="000A775C"/>
    <w:rsid w:val="000B0E5D"/>
    <w:rsid w:val="000B3067"/>
    <w:rsid w:val="000B7215"/>
    <w:rsid w:val="000C19D2"/>
    <w:rsid w:val="000C30EF"/>
    <w:rsid w:val="000C41D3"/>
    <w:rsid w:val="000C4BB5"/>
    <w:rsid w:val="000C5A21"/>
    <w:rsid w:val="000C63EB"/>
    <w:rsid w:val="000C7FED"/>
    <w:rsid w:val="000D0446"/>
    <w:rsid w:val="000D3346"/>
    <w:rsid w:val="000D6A66"/>
    <w:rsid w:val="000E21B6"/>
    <w:rsid w:val="000E5CF2"/>
    <w:rsid w:val="000F1271"/>
    <w:rsid w:val="000F422C"/>
    <w:rsid w:val="000F5992"/>
    <w:rsid w:val="000F5F81"/>
    <w:rsid w:val="000F6A8C"/>
    <w:rsid w:val="00100DEB"/>
    <w:rsid w:val="0010411C"/>
    <w:rsid w:val="00105B4B"/>
    <w:rsid w:val="00106BA6"/>
    <w:rsid w:val="001114A9"/>
    <w:rsid w:val="001122D1"/>
    <w:rsid w:val="00113C05"/>
    <w:rsid w:val="0011557C"/>
    <w:rsid w:val="0012185A"/>
    <w:rsid w:val="00122031"/>
    <w:rsid w:val="001222A5"/>
    <w:rsid w:val="00123B73"/>
    <w:rsid w:val="00125814"/>
    <w:rsid w:val="001263B5"/>
    <w:rsid w:val="00130DBE"/>
    <w:rsid w:val="00131015"/>
    <w:rsid w:val="001356D9"/>
    <w:rsid w:val="00142D5A"/>
    <w:rsid w:val="00143826"/>
    <w:rsid w:val="00145C29"/>
    <w:rsid w:val="0014619E"/>
    <w:rsid w:val="001517F1"/>
    <w:rsid w:val="00152404"/>
    <w:rsid w:val="00152D51"/>
    <w:rsid w:val="0015309F"/>
    <w:rsid w:val="001552AE"/>
    <w:rsid w:val="00160BC7"/>
    <w:rsid w:val="0016183F"/>
    <w:rsid w:val="00162124"/>
    <w:rsid w:val="00162A4D"/>
    <w:rsid w:val="001635F9"/>
    <w:rsid w:val="001649D9"/>
    <w:rsid w:val="001672C3"/>
    <w:rsid w:val="00167D7D"/>
    <w:rsid w:val="00167E8E"/>
    <w:rsid w:val="00170887"/>
    <w:rsid w:val="00171A68"/>
    <w:rsid w:val="001752DB"/>
    <w:rsid w:val="00177D17"/>
    <w:rsid w:val="0018059F"/>
    <w:rsid w:val="00181510"/>
    <w:rsid w:val="00185B3C"/>
    <w:rsid w:val="0018791E"/>
    <w:rsid w:val="00191123"/>
    <w:rsid w:val="00192019"/>
    <w:rsid w:val="00195E29"/>
    <w:rsid w:val="001A07DB"/>
    <w:rsid w:val="001A0D68"/>
    <w:rsid w:val="001A0D7B"/>
    <w:rsid w:val="001A7974"/>
    <w:rsid w:val="001B02E3"/>
    <w:rsid w:val="001B2A84"/>
    <w:rsid w:val="001B5132"/>
    <w:rsid w:val="001B6BA5"/>
    <w:rsid w:val="001C0425"/>
    <w:rsid w:val="001C5AC1"/>
    <w:rsid w:val="001D26E4"/>
    <w:rsid w:val="001D3F1F"/>
    <w:rsid w:val="001D4B5A"/>
    <w:rsid w:val="001E240B"/>
    <w:rsid w:val="001E2D93"/>
    <w:rsid w:val="001E3AD9"/>
    <w:rsid w:val="001E4FF0"/>
    <w:rsid w:val="001E6C54"/>
    <w:rsid w:val="001F0E5A"/>
    <w:rsid w:val="001F7980"/>
    <w:rsid w:val="00203007"/>
    <w:rsid w:val="00203F2B"/>
    <w:rsid w:val="0020566A"/>
    <w:rsid w:val="00205C47"/>
    <w:rsid w:val="00205D3F"/>
    <w:rsid w:val="00207186"/>
    <w:rsid w:val="0021046E"/>
    <w:rsid w:val="00210EAA"/>
    <w:rsid w:val="00210FF3"/>
    <w:rsid w:val="002120DD"/>
    <w:rsid w:val="0021513F"/>
    <w:rsid w:val="00215A46"/>
    <w:rsid w:val="002161B3"/>
    <w:rsid w:val="00216546"/>
    <w:rsid w:val="0022027D"/>
    <w:rsid w:val="00220A15"/>
    <w:rsid w:val="002213D4"/>
    <w:rsid w:val="002220A8"/>
    <w:rsid w:val="00222DDF"/>
    <w:rsid w:val="00225C12"/>
    <w:rsid w:val="00231D2B"/>
    <w:rsid w:val="00240851"/>
    <w:rsid w:val="00243D14"/>
    <w:rsid w:val="00244241"/>
    <w:rsid w:val="002456FC"/>
    <w:rsid w:val="00251859"/>
    <w:rsid w:val="002521D5"/>
    <w:rsid w:val="0025591B"/>
    <w:rsid w:val="00262034"/>
    <w:rsid w:val="0026467F"/>
    <w:rsid w:val="00264A66"/>
    <w:rsid w:val="00267FAD"/>
    <w:rsid w:val="002754B3"/>
    <w:rsid w:val="00276FFC"/>
    <w:rsid w:val="00277D4C"/>
    <w:rsid w:val="00280586"/>
    <w:rsid w:val="00282597"/>
    <w:rsid w:val="00282FF6"/>
    <w:rsid w:val="00284F91"/>
    <w:rsid w:val="0028638B"/>
    <w:rsid w:val="002879B5"/>
    <w:rsid w:val="00292AC7"/>
    <w:rsid w:val="00296116"/>
    <w:rsid w:val="002A263F"/>
    <w:rsid w:val="002A490E"/>
    <w:rsid w:val="002A64CC"/>
    <w:rsid w:val="002B0C0C"/>
    <w:rsid w:val="002B3772"/>
    <w:rsid w:val="002B4F0E"/>
    <w:rsid w:val="002C69CF"/>
    <w:rsid w:val="002C72F5"/>
    <w:rsid w:val="002C7DE1"/>
    <w:rsid w:val="002D3C63"/>
    <w:rsid w:val="002F053C"/>
    <w:rsid w:val="002F3A64"/>
    <w:rsid w:val="002F6BED"/>
    <w:rsid w:val="002F7E59"/>
    <w:rsid w:val="00300396"/>
    <w:rsid w:val="00302726"/>
    <w:rsid w:val="003034E1"/>
    <w:rsid w:val="003050C6"/>
    <w:rsid w:val="00310EF8"/>
    <w:rsid w:val="003179DC"/>
    <w:rsid w:val="00326928"/>
    <w:rsid w:val="0034168F"/>
    <w:rsid w:val="00342143"/>
    <w:rsid w:val="0034632C"/>
    <w:rsid w:val="003501D2"/>
    <w:rsid w:val="00350F7C"/>
    <w:rsid w:val="003548E3"/>
    <w:rsid w:val="003553EC"/>
    <w:rsid w:val="003636EF"/>
    <w:rsid w:val="00363BB1"/>
    <w:rsid w:val="003655EA"/>
    <w:rsid w:val="00367156"/>
    <w:rsid w:val="00372679"/>
    <w:rsid w:val="00373F4D"/>
    <w:rsid w:val="00374678"/>
    <w:rsid w:val="0037689E"/>
    <w:rsid w:val="00377D7C"/>
    <w:rsid w:val="00381752"/>
    <w:rsid w:val="00381994"/>
    <w:rsid w:val="003845E2"/>
    <w:rsid w:val="00393BF4"/>
    <w:rsid w:val="00396FBC"/>
    <w:rsid w:val="0039714F"/>
    <w:rsid w:val="003A2023"/>
    <w:rsid w:val="003B498F"/>
    <w:rsid w:val="003B65A5"/>
    <w:rsid w:val="003B6647"/>
    <w:rsid w:val="003B7E12"/>
    <w:rsid w:val="003C17DB"/>
    <w:rsid w:val="003C5353"/>
    <w:rsid w:val="003C65EB"/>
    <w:rsid w:val="003D2747"/>
    <w:rsid w:val="003D4E74"/>
    <w:rsid w:val="003D5338"/>
    <w:rsid w:val="003D6CBD"/>
    <w:rsid w:val="003E2F92"/>
    <w:rsid w:val="003E5E4C"/>
    <w:rsid w:val="003E7E6E"/>
    <w:rsid w:val="003F12DD"/>
    <w:rsid w:val="003F1928"/>
    <w:rsid w:val="003F21A8"/>
    <w:rsid w:val="003F3DAE"/>
    <w:rsid w:val="003F4141"/>
    <w:rsid w:val="00406680"/>
    <w:rsid w:val="00412208"/>
    <w:rsid w:val="00413342"/>
    <w:rsid w:val="00420688"/>
    <w:rsid w:val="004226A9"/>
    <w:rsid w:val="0042625D"/>
    <w:rsid w:val="004278CB"/>
    <w:rsid w:val="0043605B"/>
    <w:rsid w:val="00436D5F"/>
    <w:rsid w:val="00442606"/>
    <w:rsid w:val="004432E2"/>
    <w:rsid w:val="0044385B"/>
    <w:rsid w:val="00444072"/>
    <w:rsid w:val="0045335A"/>
    <w:rsid w:val="00453978"/>
    <w:rsid w:val="00454322"/>
    <w:rsid w:val="00464624"/>
    <w:rsid w:val="00467073"/>
    <w:rsid w:val="0046780A"/>
    <w:rsid w:val="00470E9B"/>
    <w:rsid w:val="00474300"/>
    <w:rsid w:val="004751F7"/>
    <w:rsid w:val="004754B6"/>
    <w:rsid w:val="00475B05"/>
    <w:rsid w:val="00480A1C"/>
    <w:rsid w:val="00483D9D"/>
    <w:rsid w:val="004842C5"/>
    <w:rsid w:val="0048521A"/>
    <w:rsid w:val="00486AAF"/>
    <w:rsid w:val="00495C4C"/>
    <w:rsid w:val="0049726F"/>
    <w:rsid w:val="00497331"/>
    <w:rsid w:val="004A020E"/>
    <w:rsid w:val="004A2714"/>
    <w:rsid w:val="004A326B"/>
    <w:rsid w:val="004A5588"/>
    <w:rsid w:val="004A6BAA"/>
    <w:rsid w:val="004B15A5"/>
    <w:rsid w:val="004B571E"/>
    <w:rsid w:val="004C0AEB"/>
    <w:rsid w:val="004C157C"/>
    <w:rsid w:val="004C2B5F"/>
    <w:rsid w:val="004C3338"/>
    <w:rsid w:val="004C38B7"/>
    <w:rsid w:val="004C5386"/>
    <w:rsid w:val="004C7132"/>
    <w:rsid w:val="004C7700"/>
    <w:rsid w:val="004D069C"/>
    <w:rsid w:val="004D0A53"/>
    <w:rsid w:val="004D1DB1"/>
    <w:rsid w:val="004D57AA"/>
    <w:rsid w:val="004D6C2A"/>
    <w:rsid w:val="004E04E6"/>
    <w:rsid w:val="004E0C26"/>
    <w:rsid w:val="004E1EC1"/>
    <w:rsid w:val="004E4271"/>
    <w:rsid w:val="004E6542"/>
    <w:rsid w:val="004F10A2"/>
    <w:rsid w:val="004F265A"/>
    <w:rsid w:val="004F28B7"/>
    <w:rsid w:val="004F3C42"/>
    <w:rsid w:val="004F3D3A"/>
    <w:rsid w:val="004F6A18"/>
    <w:rsid w:val="004F73D3"/>
    <w:rsid w:val="005027BC"/>
    <w:rsid w:val="005027E8"/>
    <w:rsid w:val="00503900"/>
    <w:rsid w:val="005041A5"/>
    <w:rsid w:val="00507634"/>
    <w:rsid w:val="00511D88"/>
    <w:rsid w:val="00512345"/>
    <w:rsid w:val="00512CA7"/>
    <w:rsid w:val="00513303"/>
    <w:rsid w:val="0051574D"/>
    <w:rsid w:val="0051678C"/>
    <w:rsid w:val="0052450F"/>
    <w:rsid w:val="00525D92"/>
    <w:rsid w:val="00540B87"/>
    <w:rsid w:val="00542121"/>
    <w:rsid w:val="00545BEC"/>
    <w:rsid w:val="005500A2"/>
    <w:rsid w:val="0055064F"/>
    <w:rsid w:val="00556654"/>
    <w:rsid w:val="005709E2"/>
    <w:rsid w:val="00570D14"/>
    <w:rsid w:val="00574523"/>
    <w:rsid w:val="00574F1B"/>
    <w:rsid w:val="005776EE"/>
    <w:rsid w:val="0057781F"/>
    <w:rsid w:val="0058155B"/>
    <w:rsid w:val="00584D1F"/>
    <w:rsid w:val="00587A70"/>
    <w:rsid w:val="00587C74"/>
    <w:rsid w:val="00587D33"/>
    <w:rsid w:val="00595317"/>
    <w:rsid w:val="00596CE6"/>
    <w:rsid w:val="005978E3"/>
    <w:rsid w:val="005A0CE0"/>
    <w:rsid w:val="005A1E19"/>
    <w:rsid w:val="005A3AAA"/>
    <w:rsid w:val="005A3DD7"/>
    <w:rsid w:val="005A4306"/>
    <w:rsid w:val="005A5281"/>
    <w:rsid w:val="005A5A02"/>
    <w:rsid w:val="005A77A6"/>
    <w:rsid w:val="005B17DA"/>
    <w:rsid w:val="005B2982"/>
    <w:rsid w:val="005B57FB"/>
    <w:rsid w:val="005C11AC"/>
    <w:rsid w:val="005C12FA"/>
    <w:rsid w:val="005C5724"/>
    <w:rsid w:val="005D2155"/>
    <w:rsid w:val="005D322D"/>
    <w:rsid w:val="005D3FB3"/>
    <w:rsid w:val="005D5905"/>
    <w:rsid w:val="005D626E"/>
    <w:rsid w:val="005E1458"/>
    <w:rsid w:val="005F1C45"/>
    <w:rsid w:val="005F4AEB"/>
    <w:rsid w:val="005F5286"/>
    <w:rsid w:val="005F5FDC"/>
    <w:rsid w:val="005F66DC"/>
    <w:rsid w:val="00601FE9"/>
    <w:rsid w:val="00603FC0"/>
    <w:rsid w:val="0060691E"/>
    <w:rsid w:val="00612C54"/>
    <w:rsid w:val="00613248"/>
    <w:rsid w:val="00613EAF"/>
    <w:rsid w:val="00621395"/>
    <w:rsid w:val="006251E3"/>
    <w:rsid w:val="0063024B"/>
    <w:rsid w:val="006364E2"/>
    <w:rsid w:val="00636C0B"/>
    <w:rsid w:val="00636D50"/>
    <w:rsid w:val="00640158"/>
    <w:rsid w:val="0064064A"/>
    <w:rsid w:val="006406B2"/>
    <w:rsid w:val="006413BE"/>
    <w:rsid w:val="00641D09"/>
    <w:rsid w:val="00644018"/>
    <w:rsid w:val="0064569A"/>
    <w:rsid w:val="0064698B"/>
    <w:rsid w:val="00646DA8"/>
    <w:rsid w:val="00650038"/>
    <w:rsid w:val="00650DB8"/>
    <w:rsid w:val="006513F4"/>
    <w:rsid w:val="00651AEA"/>
    <w:rsid w:val="00651B7C"/>
    <w:rsid w:val="00655012"/>
    <w:rsid w:val="00656999"/>
    <w:rsid w:val="006608CF"/>
    <w:rsid w:val="006609D8"/>
    <w:rsid w:val="00666481"/>
    <w:rsid w:val="00667F85"/>
    <w:rsid w:val="00673503"/>
    <w:rsid w:val="00676292"/>
    <w:rsid w:val="00676951"/>
    <w:rsid w:val="00676CD0"/>
    <w:rsid w:val="006770EA"/>
    <w:rsid w:val="00677BB0"/>
    <w:rsid w:val="00677FF4"/>
    <w:rsid w:val="0068085E"/>
    <w:rsid w:val="006808BD"/>
    <w:rsid w:val="0068208A"/>
    <w:rsid w:val="00682D3C"/>
    <w:rsid w:val="00683EBF"/>
    <w:rsid w:val="0069119A"/>
    <w:rsid w:val="00695A6F"/>
    <w:rsid w:val="00695B3D"/>
    <w:rsid w:val="006965FC"/>
    <w:rsid w:val="00697B57"/>
    <w:rsid w:val="006A1D97"/>
    <w:rsid w:val="006A3407"/>
    <w:rsid w:val="006A3C8A"/>
    <w:rsid w:val="006B1B98"/>
    <w:rsid w:val="006C0232"/>
    <w:rsid w:val="006C0441"/>
    <w:rsid w:val="006C623F"/>
    <w:rsid w:val="006D2756"/>
    <w:rsid w:val="006D5B6E"/>
    <w:rsid w:val="006D65A9"/>
    <w:rsid w:val="006D674B"/>
    <w:rsid w:val="006D6C0B"/>
    <w:rsid w:val="006E1AF1"/>
    <w:rsid w:val="006E3A61"/>
    <w:rsid w:val="006E4FD3"/>
    <w:rsid w:val="006E5615"/>
    <w:rsid w:val="006E7565"/>
    <w:rsid w:val="006F2CB4"/>
    <w:rsid w:val="006F5E02"/>
    <w:rsid w:val="007019CF"/>
    <w:rsid w:val="0070376D"/>
    <w:rsid w:val="007079CB"/>
    <w:rsid w:val="00710DA5"/>
    <w:rsid w:val="00714D37"/>
    <w:rsid w:val="007164E8"/>
    <w:rsid w:val="00716927"/>
    <w:rsid w:val="00717B18"/>
    <w:rsid w:val="00724C6E"/>
    <w:rsid w:val="0073029A"/>
    <w:rsid w:val="00732872"/>
    <w:rsid w:val="007333D1"/>
    <w:rsid w:val="00733C7B"/>
    <w:rsid w:val="00737AC4"/>
    <w:rsid w:val="007408A0"/>
    <w:rsid w:val="0074113D"/>
    <w:rsid w:val="00744545"/>
    <w:rsid w:val="00745C16"/>
    <w:rsid w:val="00747932"/>
    <w:rsid w:val="00750FBB"/>
    <w:rsid w:val="007517DE"/>
    <w:rsid w:val="00752199"/>
    <w:rsid w:val="007523A9"/>
    <w:rsid w:val="00753539"/>
    <w:rsid w:val="00753D0B"/>
    <w:rsid w:val="00754410"/>
    <w:rsid w:val="007544F9"/>
    <w:rsid w:val="0075511B"/>
    <w:rsid w:val="00760BF6"/>
    <w:rsid w:val="00767474"/>
    <w:rsid w:val="00770DE2"/>
    <w:rsid w:val="00772D8F"/>
    <w:rsid w:val="007802C3"/>
    <w:rsid w:val="00782575"/>
    <w:rsid w:val="00787390"/>
    <w:rsid w:val="00792D16"/>
    <w:rsid w:val="00792E7B"/>
    <w:rsid w:val="007954A4"/>
    <w:rsid w:val="0079766B"/>
    <w:rsid w:val="007A6F12"/>
    <w:rsid w:val="007C385C"/>
    <w:rsid w:val="007C49E7"/>
    <w:rsid w:val="007C699F"/>
    <w:rsid w:val="007C74AE"/>
    <w:rsid w:val="007D1E76"/>
    <w:rsid w:val="007D3D37"/>
    <w:rsid w:val="007D68C0"/>
    <w:rsid w:val="007D7409"/>
    <w:rsid w:val="007E0731"/>
    <w:rsid w:val="007E10FF"/>
    <w:rsid w:val="007E1186"/>
    <w:rsid w:val="007E1DE1"/>
    <w:rsid w:val="007E65C8"/>
    <w:rsid w:val="007E71F4"/>
    <w:rsid w:val="007F0172"/>
    <w:rsid w:val="007F14F0"/>
    <w:rsid w:val="007F36A7"/>
    <w:rsid w:val="007F4519"/>
    <w:rsid w:val="007F74CD"/>
    <w:rsid w:val="007F7542"/>
    <w:rsid w:val="007F7EFC"/>
    <w:rsid w:val="00802909"/>
    <w:rsid w:val="00803093"/>
    <w:rsid w:val="0080381B"/>
    <w:rsid w:val="008042B7"/>
    <w:rsid w:val="00804409"/>
    <w:rsid w:val="0081033F"/>
    <w:rsid w:val="008135A2"/>
    <w:rsid w:val="0081425F"/>
    <w:rsid w:val="0081736C"/>
    <w:rsid w:val="00820204"/>
    <w:rsid w:val="00822F36"/>
    <w:rsid w:val="00824CE1"/>
    <w:rsid w:val="0083165B"/>
    <w:rsid w:val="008321F2"/>
    <w:rsid w:val="00834644"/>
    <w:rsid w:val="008363C7"/>
    <w:rsid w:val="008400EF"/>
    <w:rsid w:val="00843A47"/>
    <w:rsid w:val="00844EA8"/>
    <w:rsid w:val="00845327"/>
    <w:rsid w:val="008505B1"/>
    <w:rsid w:val="00855CEF"/>
    <w:rsid w:val="008608EC"/>
    <w:rsid w:val="008652F9"/>
    <w:rsid w:val="008658AE"/>
    <w:rsid w:val="00866D4D"/>
    <w:rsid w:val="00866F47"/>
    <w:rsid w:val="00867566"/>
    <w:rsid w:val="00873139"/>
    <w:rsid w:val="00874199"/>
    <w:rsid w:val="00874AB5"/>
    <w:rsid w:val="00877431"/>
    <w:rsid w:val="00880EEA"/>
    <w:rsid w:val="00882B20"/>
    <w:rsid w:val="00886945"/>
    <w:rsid w:val="008871AF"/>
    <w:rsid w:val="00890295"/>
    <w:rsid w:val="008910EA"/>
    <w:rsid w:val="0089723E"/>
    <w:rsid w:val="0089786C"/>
    <w:rsid w:val="008A3FF4"/>
    <w:rsid w:val="008A7634"/>
    <w:rsid w:val="008B1003"/>
    <w:rsid w:val="008B1702"/>
    <w:rsid w:val="008B33BB"/>
    <w:rsid w:val="008B4381"/>
    <w:rsid w:val="008C0513"/>
    <w:rsid w:val="008C5557"/>
    <w:rsid w:val="008C5AC5"/>
    <w:rsid w:val="008C6C18"/>
    <w:rsid w:val="008D43CE"/>
    <w:rsid w:val="008E146E"/>
    <w:rsid w:val="008F03A4"/>
    <w:rsid w:val="008F0B38"/>
    <w:rsid w:val="008F33D1"/>
    <w:rsid w:val="008F5F89"/>
    <w:rsid w:val="008F73D3"/>
    <w:rsid w:val="008F7E9D"/>
    <w:rsid w:val="00900976"/>
    <w:rsid w:val="0090227A"/>
    <w:rsid w:val="009037A9"/>
    <w:rsid w:val="009049BB"/>
    <w:rsid w:val="00907828"/>
    <w:rsid w:val="009142D4"/>
    <w:rsid w:val="0091451E"/>
    <w:rsid w:val="009154CD"/>
    <w:rsid w:val="0091587D"/>
    <w:rsid w:val="00915E39"/>
    <w:rsid w:val="00916EA1"/>
    <w:rsid w:val="00916F4A"/>
    <w:rsid w:val="00917045"/>
    <w:rsid w:val="00920C35"/>
    <w:rsid w:val="0092182E"/>
    <w:rsid w:val="00921E64"/>
    <w:rsid w:val="00923518"/>
    <w:rsid w:val="0092443E"/>
    <w:rsid w:val="00925160"/>
    <w:rsid w:val="0093054E"/>
    <w:rsid w:val="00930C5A"/>
    <w:rsid w:val="00930D25"/>
    <w:rsid w:val="0093143C"/>
    <w:rsid w:val="00933AD5"/>
    <w:rsid w:val="00933F29"/>
    <w:rsid w:val="00934A20"/>
    <w:rsid w:val="009354AA"/>
    <w:rsid w:val="00935848"/>
    <w:rsid w:val="009374D0"/>
    <w:rsid w:val="00941B0F"/>
    <w:rsid w:val="00943995"/>
    <w:rsid w:val="00943CFE"/>
    <w:rsid w:val="00945A99"/>
    <w:rsid w:val="009461F2"/>
    <w:rsid w:val="0095113D"/>
    <w:rsid w:val="009520A8"/>
    <w:rsid w:val="00952FD2"/>
    <w:rsid w:val="00955F6A"/>
    <w:rsid w:val="00960ED6"/>
    <w:rsid w:val="00961A2C"/>
    <w:rsid w:val="00961A7B"/>
    <w:rsid w:val="00961BE1"/>
    <w:rsid w:val="00961EF7"/>
    <w:rsid w:val="0096500A"/>
    <w:rsid w:val="00967739"/>
    <w:rsid w:val="00970C35"/>
    <w:rsid w:val="00971A45"/>
    <w:rsid w:val="009762F4"/>
    <w:rsid w:val="009763F1"/>
    <w:rsid w:val="0097714F"/>
    <w:rsid w:val="009771EB"/>
    <w:rsid w:val="00981762"/>
    <w:rsid w:val="00983340"/>
    <w:rsid w:val="00991DDE"/>
    <w:rsid w:val="009922AF"/>
    <w:rsid w:val="009940F7"/>
    <w:rsid w:val="0099434B"/>
    <w:rsid w:val="009962DC"/>
    <w:rsid w:val="00996DAE"/>
    <w:rsid w:val="009A0622"/>
    <w:rsid w:val="009A38D2"/>
    <w:rsid w:val="009A4774"/>
    <w:rsid w:val="009B0102"/>
    <w:rsid w:val="009B2031"/>
    <w:rsid w:val="009B2416"/>
    <w:rsid w:val="009B29D4"/>
    <w:rsid w:val="009B47C3"/>
    <w:rsid w:val="009C40FB"/>
    <w:rsid w:val="009D1C85"/>
    <w:rsid w:val="009D6965"/>
    <w:rsid w:val="009D6CE7"/>
    <w:rsid w:val="009D7A64"/>
    <w:rsid w:val="009E1F52"/>
    <w:rsid w:val="009E3972"/>
    <w:rsid w:val="009E51D5"/>
    <w:rsid w:val="009E5297"/>
    <w:rsid w:val="009E7F65"/>
    <w:rsid w:val="009F0378"/>
    <w:rsid w:val="009F10C7"/>
    <w:rsid w:val="009F1A2A"/>
    <w:rsid w:val="009F233B"/>
    <w:rsid w:val="009F3384"/>
    <w:rsid w:val="009F489D"/>
    <w:rsid w:val="009F52C6"/>
    <w:rsid w:val="00A023FC"/>
    <w:rsid w:val="00A024E3"/>
    <w:rsid w:val="00A06B77"/>
    <w:rsid w:val="00A06E97"/>
    <w:rsid w:val="00A07CED"/>
    <w:rsid w:val="00A16B19"/>
    <w:rsid w:val="00A17DA8"/>
    <w:rsid w:val="00A263E1"/>
    <w:rsid w:val="00A30674"/>
    <w:rsid w:val="00A31C83"/>
    <w:rsid w:val="00A37253"/>
    <w:rsid w:val="00A4251A"/>
    <w:rsid w:val="00A4430D"/>
    <w:rsid w:val="00A4613C"/>
    <w:rsid w:val="00A46BAF"/>
    <w:rsid w:val="00A50EA1"/>
    <w:rsid w:val="00A539D1"/>
    <w:rsid w:val="00A558DE"/>
    <w:rsid w:val="00A56E09"/>
    <w:rsid w:val="00A57569"/>
    <w:rsid w:val="00A575B7"/>
    <w:rsid w:val="00A6094E"/>
    <w:rsid w:val="00A644C5"/>
    <w:rsid w:val="00A653A0"/>
    <w:rsid w:val="00A674B9"/>
    <w:rsid w:val="00A77FA4"/>
    <w:rsid w:val="00A802BE"/>
    <w:rsid w:val="00A8030F"/>
    <w:rsid w:val="00A83D97"/>
    <w:rsid w:val="00A852EF"/>
    <w:rsid w:val="00A8577F"/>
    <w:rsid w:val="00A86513"/>
    <w:rsid w:val="00A90251"/>
    <w:rsid w:val="00A9355C"/>
    <w:rsid w:val="00AA1AD3"/>
    <w:rsid w:val="00AA652B"/>
    <w:rsid w:val="00AB129F"/>
    <w:rsid w:val="00AB18CE"/>
    <w:rsid w:val="00AB220B"/>
    <w:rsid w:val="00AB23A3"/>
    <w:rsid w:val="00AB23B0"/>
    <w:rsid w:val="00AB2DCD"/>
    <w:rsid w:val="00AB2E95"/>
    <w:rsid w:val="00AC360F"/>
    <w:rsid w:val="00AC4DC4"/>
    <w:rsid w:val="00AC52C4"/>
    <w:rsid w:val="00AE1C67"/>
    <w:rsid w:val="00AE514E"/>
    <w:rsid w:val="00AE5C9E"/>
    <w:rsid w:val="00AE7950"/>
    <w:rsid w:val="00AF1397"/>
    <w:rsid w:val="00AF2421"/>
    <w:rsid w:val="00AF2A92"/>
    <w:rsid w:val="00AF355F"/>
    <w:rsid w:val="00AF5ED4"/>
    <w:rsid w:val="00B0320F"/>
    <w:rsid w:val="00B0376A"/>
    <w:rsid w:val="00B03D88"/>
    <w:rsid w:val="00B0569A"/>
    <w:rsid w:val="00B069BE"/>
    <w:rsid w:val="00B07FD9"/>
    <w:rsid w:val="00B113F3"/>
    <w:rsid w:val="00B159D3"/>
    <w:rsid w:val="00B17B75"/>
    <w:rsid w:val="00B2102A"/>
    <w:rsid w:val="00B23E62"/>
    <w:rsid w:val="00B26C3D"/>
    <w:rsid w:val="00B305CA"/>
    <w:rsid w:val="00B30ED6"/>
    <w:rsid w:val="00B31A17"/>
    <w:rsid w:val="00B334B5"/>
    <w:rsid w:val="00B34FB5"/>
    <w:rsid w:val="00B35DBA"/>
    <w:rsid w:val="00B37916"/>
    <w:rsid w:val="00B40358"/>
    <w:rsid w:val="00B41CC1"/>
    <w:rsid w:val="00B42C60"/>
    <w:rsid w:val="00B44988"/>
    <w:rsid w:val="00B55547"/>
    <w:rsid w:val="00B5677C"/>
    <w:rsid w:val="00B62179"/>
    <w:rsid w:val="00B63935"/>
    <w:rsid w:val="00B64B34"/>
    <w:rsid w:val="00B668D0"/>
    <w:rsid w:val="00B6729E"/>
    <w:rsid w:val="00B704BE"/>
    <w:rsid w:val="00B7283B"/>
    <w:rsid w:val="00B8474B"/>
    <w:rsid w:val="00B84779"/>
    <w:rsid w:val="00B8552B"/>
    <w:rsid w:val="00B85A04"/>
    <w:rsid w:val="00B85AF3"/>
    <w:rsid w:val="00B85CD0"/>
    <w:rsid w:val="00B917EF"/>
    <w:rsid w:val="00B94AA8"/>
    <w:rsid w:val="00B97734"/>
    <w:rsid w:val="00BA0C90"/>
    <w:rsid w:val="00BA45C6"/>
    <w:rsid w:val="00BA749E"/>
    <w:rsid w:val="00BB26F6"/>
    <w:rsid w:val="00BB348C"/>
    <w:rsid w:val="00BB6332"/>
    <w:rsid w:val="00BC0472"/>
    <w:rsid w:val="00BC0985"/>
    <w:rsid w:val="00BC21E6"/>
    <w:rsid w:val="00BC2FA3"/>
    <w:rsid w:val="00BC6856"/>
    <w:rsid w:val="00BD1C7E"/>
    <w:rsid w:val="00BD2872"/>
    <w:rsid w:val="00BD5C84"/>
    <w:rsid w:val="00BD72B3"/>
    <w:rsid w:val="00BE1F94"/>
    <w:rsid w:val="00BE4C45"/>
    <w:rsid w:val="00BF37A5"/>
    <w:rsid w:val="00C00023"/>
    <w:rsid w:val="00C01835"/>
    <w:rsid w:val="00C01B45"/>
    <w:rsid w:val="00C01F88"/>
    <w:rsid w:val="00C058B8"/>
    <w:rsid w:val="00C10343"/>
    <w:rsid w:val="00C107B5"/>
    <w:rsid w:val="00C10B9B"/>
    <w:rsid w:val="00C1223F"/>
    <w:rsid w:val="00C12A62"/>
    <w:rsid w:val="00C13C62"/>
    <w:rsid w:val="00C15C9F"/>
    <w:rsid w:val="00C246E9"/>
    <w:rsid w:val="00C25303"/>
    <w:rsid w:val="00C25F75"/>
    <w:rsid w:val="00C27A97"/>
    <w:rsid w:val="00C34BD1"/>
    <w:rsid w:val="00C34F60"/>
    <w:rsid w:val="00C372B5"/>
    <w:rsid w:val="00C37FCB"/>
    <w:rsid w:val="00C4023F"/>
    <w:rsid w:val="00C41D6D"/>
    <w:rsid w:val="00C43568"/>
    <w:rsid w:val="00C4434B"/>
    <w:rsid w:val="00C47DFF"/>
    <w:rsid w:val="00C53CAA"/>
    <w:rsid w:val="00C546C3"/>
    <w:rsid w:val="00C60F1C"/>
    <w:rsid w:val="00C6178C"/>
    <w:rsid w:val="00C65BB5"/>
    <w:rsid w:val="00C670F2"/>
    <w:rsid w:val="00C6711B"/>
    <w:rsid w:val="00C672B2"/>
    <w:rsid w:val="00C71385"/>
    <w:rsid w:val="00C72DEB"/>
    <w:rsid w:val="00C73F41"/>
    <w:rsid w:val="00C75589"/>
    <w:rsid w:val="00C75F84"/>
    <w:rsid w:val="00C80AE7"/>
    <w:rsid w:val="00C81983"/>
    <w:rsid w:val="00C83E18"/>
    <w:rsid w:val="00C86398"/>
    <w:rsid w:val="00C90E74"/>
    <w:rsid w:val="00C936BC"/>
    <w:rsid w:val="00CA1685"/>
    <w:rsid w:val="00CA2440"/>
    <w:rsid w:val="00CA2B75"/>
    <w:rsid w:val="00CB3203"/>
    <w:rsid w:val="00CB7CBC"/>
    <w:rsid w:val="00CC0990"/>
    <w:rsid w:val="00CC2DBC"/>
    <w:rsid w:val="00CC4752"/>
    <w:rsid w:val="00CC65EE"/>
    <w:rsid w:val="00CD01EE"/>
    <w:rsid w:val="00CD4B9D"/>
    <w:rsid w:val="00CD6CD6"/>
    <w:rsid w:val="00CD7CB4"/>
    <w:rsid w:val="00CE0505"/>
    <w:rsid w:val="00CE170F"/>
    <w:rsid w:val="00CE2C61"/>
    <w:rsid w:val="00CE7E1F"/>
    <w:rsid w:val="00CF1CBC"/>
    <w:rsid w:val="00CF22A4"/>
    <w:rsid w:val="00CF543C"/>
    <w:rsid w:val="00D006F4"/>
    <w:rsid w:val="00D01E68"/>
    <w:rsid w:val="00D02560"/>
    <w:rsid w:val="00D051FC"/>
    <w:rsid w:val="00D062F8"/>
    <w:rsid w:val="00D0782A"/>
    <w:rsid w:val="00D07DD1"/>
    <w:rsid w:val="00D07FD2"/>
    <w:rsid w:val="00D10D54"/>
    <w:rsid w:val="00D1132C"/>
    <w:rsid w:val="00D12D3A"/>
    <w:rsid w:val="00D13227"/>
    <w:rsid w:val="00D14D09"/>
    <w:rsid w:val="00D162CF"/>
    <w:rsid w:val="00D16B38"/>
    <w:rsid w:val="00D17FD6"/>
    <w:rsid w:val="00D2070E"/>
    <w:rsid w:val="00D21327"/>
    <w:rsid w:val="00D2258A"/>
    <w:rsid w:val="00D23635"/>
    <w:rsid w:val="00D27A42"/>
    <w:rsid w:val="00D301BC"/>
    <w:rsid w:val="00D305DC"/>
    <w:rsid w:val="00D31FE2"/>
    <w:rsid w:val="00D406E0"/>
    <w:rsid w:val="00D419D1"/>
    <w:rsid w:val="00D42F02"/>
    <w:rsid w:val="00D43518"/>
    <w:rsid w:val="00D45657"/>
    <w:rsid w:val="00D46AD1"/>
    <w:rsid w:val="00D51B42"/>
    <w:rsid w:val="00D52DEE"/>
    <w:rsid w:val="00D5368A"/>
    <w:rsid w:val="00D61EE8"/>
    <w:rsid w:val="00D63DB3"/>
    <w:rsid w:val="00D63F97"/>
    <w:rsid w:val="00D721C3"/>
    <w:rsid w:val="00D76898"/>
    <w:rsid w:val="00D76A1F"/>
    <w:rsid w:val="00D812FB"/>
    <w:rsid w:val="00D8405F"/>
    <w:rsid w:val="00D8422B"/>
    <w:rsid w:val="00D871A6"/>
    <w:rsid w:val="00D87CDF"/>
    <w:rsid w:val="00D9124A"/>
    <w:rsid w:val="00D91DBF"/>
    <w:rsid w:val="00D93BE4"/>
    <w:rsid w:val="00DA130E"/>
    <w:rsid w:val="00DA4849"/>
    <w:rsid w:val="00DB2B7A"/>
    <w:rsid w:val="00DB41A4"/>
    <w:rsid w:val="00DC3940"/>
    <w:rsid w:val="00DC5904"/>
    <w:rsid w:val="00DC6909"/>
    <w:rsid w:val="00DD409B"/>
    <w:rsid w:val="00DD6037"/>
    <w:rsid w:val="00DD7807"/>
    <w:rsid w:val="00DD7985"/>
    <w:rsid w:val="00DD7D36"/>
    <w:rsid w:val="00DE3782"/>
    <w:rsid w:val="00DE41EC"/>
    <w:rsid w:val="00DE4720"/>
    <w:rsid w:val="00DE5B74"/>
    <w:rsid w:val="00DE6C98"/>
    <w:rsid w:val="00DE710E"/>
    <w:rsid w:val="00DE7470"/>
    <w:rsid w:val="00DE793F"/>
    <w:rsid w:val="00DF0A99"/>
    <w:rsid w:val="00E01228"/>
    <w:rsid w:val="00E0282A"/>
    <w:rsid w:val="00E03468"/>
    <w:rsid w:val="00E03C36"/>
    <w:rsid w:val="00E03F6C"/>
    <w:rsid w:val="00E07384"/>
    <w:rsid w:val="00E10BEA"/>
    <w:rsid w:val="00E10F07"/>
    <w:rsid w:val="00E13886"/>
    <w:rsid w:val="00E1693A"/>
    <w:rsid w:val="00E25ABA"/>
    <w:rsid w:val="00E262BC"/>
    <w:rsid w:val="00E26592"/>
    <w:rsid w:val="00E27917"/>
    <w:rsid w:val="00E27B94"/>
    <w:rsid w:val="00E3159A"/>
    <w:rsid w:val="00E32C03"/>
    <w:rsid w:val="00E339D1"/>
    <w:rsid w:val="00E33BA8"/>
    <w:rsid w:val="00E34B5B"/>
    <w:rsid w:val="00E37020"/>
    <w:rsid w:val="00E42C00"/>
    <w:rsid w:val="00E43569"/>
    <w:rsid w:val="00E458A2"/>
    <w:rsid w:val="00E45C3A"/>
    <w:rsid w:val="00E51BD7"/>
    <w:rsid w:val="00E619DC"/>
    <w:rsid w:val="00E62929"/>
    <w:rsid w:val="00E64669"/>
    <w:rsid w:val="00E65A43"/>
    <w:rsid w:val="00E66170"/>
    <w:rsid w:val="00E71897"/>
    <w:rsid w:val="00E741F2"/>
    <w:rsid w:val="00E75216"/>
    <w:rsid w:val="00E80D20"/>
    <w:rsid w:val="00E81F2D"/>
    <w:rsid w:val="00E8211C"/>
    <w:rsid w:val="00E8481C"/>
    <w:rsid w:val="00E86C0F"/>
    <w:rsid w:val="00E929E4"/>
    <w:rsid w:val="00E97CD8"/>
    <w:rsid w:val="00EA02A5"/>
    <w:rsid w:val="00EA18AC"/>
    <w:rsid w:val="00EA18F1"/>
    <w:rsid w:val="00EA1E9E"/>
    <w:rsid w:val="00EB165F"/>
    <w:rsid w:val="00EB25DE"/>
    <w:rsid w:val="00EB3B0A"/>
    <w:rsid w:val="00EB6735"/>
    <w:rsid w:val="00EB716B"/>
    <w:rsid w:val="00EB7441"/>
    <w:rsid w:val="00EB7C1C"/>
    <w:rsid w:val="00EC4225"/>
    <w:rsid w:val="00EC626F"/>
    <w:rsid w:val="00EC7088"/>
    <w:rsid w:val="00ED16F8"/>
    <w:rsid w:val="00ED308E"/>
    <w:rsid w:val="00ED3836"/>
    <w:rsid w:val="00ED39AA"/>
    <w:rsid w:val="00ED4717"/>
    <w:rsid w:val="00ED4BFA"/>
    <w:rsid w:val="00ED7782"/>
    <w:rsid w:val="00ED7869"/>
    <w:rsid w:val="00EE1F09"/>
    <w:rsid w:val="00EE5D08"/>
    <w:rsid w:val="00EF08C6"/>
    <w:rsid w:val="00EF46E9"/>
    <w:rsid w:val="00EF5EB8"/>
    <w:rsid w:val="00EF6551"/>
    <w:rsid w:val="00F027DE"/>
    <w:rsid w:val="00F03D6E"/>
    <w:rsid w:val="00F049A7"/>
    <w:rsid w:val="00F07A7D"/>
    <w:rsid w:val="00F13E06"/>
    <w:rsid w:val="00F15736"/>
    <w:rsid w:val="00F16590"/>
    <w:rsid w:val="00F2161D"/>
    <w:rsid w:val="00F25A5A"/>
    <w:rsid w:val="00F263CE"/>
    <w:rsid w:val="00F36A1D"/>
    <w:rsid w:val="00F36EDC"/>
    <w:rsid w:val="00F40600"/>
    <w:rsid w:val="00F4206F"/>
    <w:rsid w:val="00F422A3"/>
    <w:rsid w:val="00F4282A"/>
    <w:rsid w:val="00F43247"/>
    <w:rsid w:val="00F44EA5"/>
    <w:rsid w:val="00F457CA"/>
    <w:rsid w:val="00F466E8"/>
    <w:rsid w:val="00F523F1"/>
    <w:rsid w:val="00F54F62"/>
    <w:rsid w:val="00F558D7"/>
    <w:rsid w:val="00F60CF1"/>
    <w:rsid w:val="00F61690"/>
    <w:rsid w:val="00F620AE"/>
    <w:rsid w:val="00F620C2"/>
    <w:rsid w:val="00F67230"/>
    <w:rsid w:val="00F71F1A"/>
    <w:rsid w:val="00F73311"/>
    <w:rsid w:val="00F748F1"/>
    <w:rsid w:val="00F76918"/>
    <w:rsid w:val="00F772E0"/>
    <w:rsid w:val="00F803B1"/>
    <w:rsid w:val="00F823F6"/>
    <w:rsid w:val="00F84356"/>
    <w:rsid w:val="00F86281"/>
    <w:rsid w:val="00F90ED3"/>
    <w:rsid w:val="00F914F3"/>
    <w:rsid w:val="00F93090"/>
    <w:rsid w:val="00F96A18"/>
    <w:rsid w:val="00FA4455"/>
    <w:rsid w:val="00FB0B23"/>
    <w:rsid w:val="00FB179C"/>
    <w:rsid w:val="00FB2FDC"/>
    <w:rsid w:val="00FB3A4C"/>
    <w:rsid w:val="00FB5CF1"/>
    <w:rsid w:val="00FB7805"/>
    <w:rsid w:val="00FC0A33"/>
    <w:rsid w:val="00FC3D1B"/>
    <w:rsid w:val="00FD7A66"/>
    <w:rsid w:val="00FD7DE3"/>
    <w:rsid w:val="00FE2CE9"/>
    <w:rsid w:val="00FE439B"/>
    <w:rsid w:val="00FE60D5"/>
    <w:rsid w:val="00FF1E5E"/>
    <w:rsid w:val="00FF2A11"/>
    <w:rsid w:val="00FF3ED1"/>
    <w:rsid w:val="00FF4BB6"/>
    <w:rsid w:val="00FF5B3D"/>
    <w:rsid w:val="00FF659D"/>
    <w:rsid w:val="00FF7316"/>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DB1579"/>
  <w15:docId w15:val="{ACB3E802-062E-4DCF-8790-027BFCE0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7EFC"/>
    <w:pPr>
      <w:spacing w:after="3" w:line="261" w:lineRule="auto"/>
      <w:ind w:left="10" w:hanging="10"/>
      <w:jc w:val="both"/>
    </w:pPr>
    <w:rPr>
      <w:rFonts w:ascii="Calibri" w:eastAsia="Calibri" w:hAnsi="Calibri" w:cs="Calibri"/>
      <w:color w:val="000000"/>
    </w:rPr>
  </w:style>
  <w:style w:type="paragraph" w:styleId="Heading1">
    <w:name w:val="heading 1"/>
    <w:basedOn w:val="Normal"/>
    <w:next w:val="Normal"/>
    <w:link w:val="Heading1Char"/>
    <w:qFormat/>
    <w:rsid w:val="00E1693A"/>
    <w:pPr>
      <w:keepNext/>
      <w:keepLines/>
      <w:numPr>
        <w:numId w:val="3"/>
      </w:numPr>
      <w:spacing w:before="480" w:after="0" w:line="276" w:lineRule="auto"/>
      <w:jc w:val="center"/>
      <w:outlineLvl w:val="0"/>
    </w:pPr>
    <w:rPr>
      <w:rFonts w:eastAsiaTheme="majorEastAsia" w:cstheme="majorBidi"/>
      <w:b/>
      <w:bCs/>
      <w:color w:val="00B050"/>
      <w:sz w:val="32"/>
      <w:szCs w:val="28"/>
    </w:rPr>
  </w:style>
  <w:style w:type="paragraph" w:styleId="Heading2">
    <w:name w:val="heading 2"/>
    <w:basedOn w:val="Normal"/>
    <w:next w:val="Normal"/>
    <w:link w:val="Heading2Char"/>
    <w:autoRedefine/>
    <w:unhideWhenUsed/>
    <w:qFormat/>
    <w:rsid w:val="00E1693A"/>
    <w:pPr>
      <w:keepNext/>
      <w:keepLines/>
      <w:numPr>
        <w:ilvl w:val="1"/>
        <w:numId w:val="3"/>
      </w:numPr>
      <w:pBdr>
        <w:bottom w:val="single" w:sz="36" w:space="1" w:color="00B050"/>
      </w:pBdr>
      <w:spacing w:after="0" w:line="240" w:lineRule="auto"/>
      <w:jc w:val="left"/>
      <w:outlineLvl w:val="1"/>
    </w:pPr>
    <w:rPr>
      <w:rFonts w:asciiTheme="minorHAnsi" w:eastAsiaTheme="majorEastAsia" w:hAnsiTheme="minorHAnsi" w:cstheme="majorBidi"/>
      <w:b/>
      <w:bCs/>
      <w:color w:val="00B050"/>
      <w:sz w:val="24"/>
      <w:szCs w:val="26"/>
    </w:rPr>
  </w:style>
  <w:style w:type="paragraph" w:styleId="Heading3">
    <w:name w:val="heading 3"/>
    <w:next w:val="Normal"/>
    <w:link w:val="Heading3Char"/>
    <w:unhideWhenUsed/>
    <w:qFormat/>
    <w:rsid w:val="00E1693A"/>
    <w:pPr>
      <w:keepNext/>
      <w:keepLines/>
      <w:widowControl w:val="0"/>
      <w:numPr>
        <w:ilvl w:val="2"/>
        <w:numId w:val="3"/>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E1693A"/>
    <w:pPr>
      <w:keepNext/>
      <w:keepLines/>
      <w:numPr>
        <w:ilvl w:val="3"/>
        <w:numId w:val="3"/>
      </w:numPr>
      <w:spacing w:before="120" w:after="120" w:line="240" w:lineRule="auto"/>
      <w:outlineLvl w:val="3"/>
    </w:pPr>
    <w:rPr>
      <w:rFonts w:asciiTheme="minorHAnsi" w:eastAsiaTheme="minorHAnsi" w:hAnsi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E1693A"/>
    <w:pPr>
      <w:widowControl w:val="0"/>
      <w:numPr>
        <w:ilvl w:val="4"/>
        <w:numId w:val="3"/>
      </w:numPr>
      <w:autoSpaceDE w:val="0"/>
      <w:autoSpaceDN w:val="0"/>
      <w:adjustRightInd w:val="0"/>
      <w:spacing w:before="120" w:after="120" w:line="240" w:lineRule="auto"/>
      <w:outlineLvl w:val="4"/>
    </w:pPr>
    <w:rPr>
      <w:rFonts w:asciiTheme="minorHAnsi" w:eastAsiaTheme="minorHAnsi" w:hAnsi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unhideWhenUsed/>
    <w:qFormat/>
    <w:rsid w:val="00E1693A"/>
    <w:pPr>
      <w:keepNext/>
      <w:keepLines/>
      <w:numPr>
        <w:ilvl w:val="5"/>
        <w:numId w:val="3"/>
      </w:numPr>
      <w:spacing w:before="200" w:after="0" w:line="276" w:lineRule="auto"/>
      <w:jc w:val="left"/>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1693A"/>
    <w:pPr>
      <w:keepNext/>
      <w:keepLines/>
      <w:numPr>
        <w:ilvl w:val="6"/>
        <w:numId w:val="3"/>
      </w:numPr>
      <w:spacing w:before="200" w:after="0" w:line="276" w:lineRule="auto"/>
      <w:jc w:val="left"/>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693A"/>
    <w:pPr>
      <w:keepNext/>
      <w:keepLines/>
      <w:numPr>
        <w:ilvl w:val="7"/>
        <w:numId w:val="3"/>
      </w:numPr>
      <w:spacing w:before="200" w:after="0" w:line="276" w:lineRule="auto"/>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1693A"/>
    <w:pPr>
      <w:keepNext/>
      <w:keepLines/>
      <w:numPr>
        <w:ilvl w:val="8"/>
        <w:numId w:val="3"/>
      </w:numPr>
      <w:spacing w:before="200" w:after="0" w:line="276" w:lineRule="auto"/>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Bullet list first level,Citation List,본문(내용),List Paragraph (numbered (a))"/>
    <w:basedOn w:val="Normal"/>
    <w:link w:val="ListParagraphChar"/>
    <w:uiPriority w:val="34"/>
    <w:qFormat/>
    <w:rsid w:val="00F96A18"/>
    <w:pPr>
      <w:ind w:left="720"/>
      <w:contextualSpacing/>
    </w:pPr>
  </w:style>
  <w:style w:type="character" w:styleId="CommentReference">
    <w:name w:val="annotation reference"/>
    <w:basedOn w:val="DefaultParagraphFont"/>
    <w:unhideWhenUsed/>
    <w:rsid w:val="00822F36"/>
    <w:rPr>
      <w:sz w:val="16"/>
      <w:szCs w:val="16"/>
    </w:rPr>
  </w:style>
  <w:style w:type="paragraph" w:styleId="CommentText">
    <w:name w:val="annotation text"/>
    <w:basedOn w:val="Normal"/>
    <w:link w:val="CommentTextChar"/>
    <w:unhideWhenUsed/>
    <w:rsid w:val="00822F36"/>
    <w:pPr>
      <w:spacing w:line="240" w:lineRule="auto"/>
    </w:pPr>
    <w:rPr>
      <w:sz w:val="20"/>
      <w:szCs w:val="20"/>
    </w:rPr>
  </w:style>
  <w:style w:type="character" w:customStyle="1" w:styleId="CommentTextChar">
    <w:name w:val="Comment Text Char"/>
    <w:basedOn w:val="DefaultParagraphFont"/>
    <w:link w:val="CommentText"/>
    <w:rsid w:val="00822F3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22F36"/>
    <w:rPr>
      <w:b/>
      <w:bCs/>
    </w:rPr>
  </w:style>
  <w:style w:type="character" w:customStyle="1" w:styleId="CommentSubjectChar">
    <w:name w:val="Comment Subject Char"/>
    <w:basedOn w:val="CommentTextChar"/>
    <w:link w:val="CommentSubject"/>
    <w:uiPriority w:val="99"/>
    <w:semiHidden/>
    <w:rsid w:val="00822F36"/>
    <w:rPr>
      <w:rFonts w:ascii="Calibri" w:eastAsia="Calibri" w:hAnsi="Calibri" w:cs="Calibri"/>
      <w:b/>
      <w:bCs/>
      <w:color w:val="000000"/>
      <w:sz w:val="20"/>
      <w:szCs w:val="20"/>
    </w:rPr>
  </w:style>
  <w:style w:type="paragraph" w:styleId="BalloonText">
    <w:name w:val="Balloon Text"/>
    <w:basedOn w:val="Normal"/>
    <w:link w:val="BalloonTextChar"/>
    <w:uiPriority w:val="99"/>
    <w:unhideWhenUsed/>
    <w:rsid w:val="0082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22F36"/>
    <w:rPr>
      <w:rFonts w:ascii="Segoe UI" w:eastAsia="Calibri" w:hAnsi="Segoe UI" w:cs="Segoe UI"/>
      <w:color w:val="000000"/>
      <w:sz w:val="18"/>
      <w:szCs w:val="18"/>
    </w:rPr>
  </w:style>
  <w:style w:type="paragraph" w:styleId="Header">
    <w:name w:val="header"/>
    <w:basedOn w:val="Normal"/>
    <w:link w:val="HeaderChar"/>
    <w:uiPriority w:val="99"/>
    <w:unhideWhenUsed/>
    <w:rsid w:val="00E16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93A"/>
    <w:rPr>
      <w:rFonts w:ascii="Calibri" w:eastAsia="Calibri" w:hAnsi="Calibri" w:cs="Calibri"/>
      <w:color w:val="000000"/>
    </w:rPr>
  </w:style>
  <w:style w:type="character" w:customStyle="1" w:styleId="Heading1Char">
    <w:name w:val="Heading 1 Char"/>
    <w:basedOn w:val="DefaultParagraphFont"/>
    <w:link w:val="Heading1"/>
    <w:rsid w:val="00E1693A"/>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E1693A"/>
    <w:rPr>
      <w:rFonts w:eastAsiaTheme="majorEastAsia" w:cstheme="majorBidi"/>
      <w:b/>
      <w:bCs/>
      <w:color w:val="00B050"/>
      <w:sz w:val="24"/>
      <w:szCs w:val="26"/>
    </w:rPr>
  </w:style>
  <w:style w:type="character" w:customStyle="1" w:styleId="Heading3Char">
    <w:name w:val="Heading 3 Char"/>
    <w:basedOn w:val="DefaultParagraphFont"/>
    <w:link w:val="Heading3"/>
    <w:rsid w:val="00E1693A"/>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E1693A"/>
    <w:rPr>
      <w:rFonts w:eastAsiaTheme="minorHAnsi" w:cs="ITC Franklin Gothic Std Med"/>
      <w:b/>
      <w:i/>
      <w:color w:val="00B050"/>
      <w:szCs w:val="24"/>
      <w:lang w:val="en-GB" w:eastAsia="en-US"/>
    </w:rPr>
  </w:style>
  <w:style w:type="character" w:customStyle="1" w:styleId="Heading5Char">
    <w:name w:val="Heading 5 Char"/>
    <w:basedOn w:val="DefaultParagraphFont"/>
    <w:link w:val="Heading5"/>
    <w:uiPriority w:val="9"/>
    <w:rsid w:val="00E1693A"/>
    <w:rPr>
      <w:rFonts w:eastAsiaTheme="minorHAnsi" w:cs="ITC Franklin Gothic Std Med"/>
      <w:b/>
      <w:i/>
      <w:iCs/>
      <w:color w:val="C45911" w:themeColor="accent2" w:themeShade="BF"/>
      <w:sz w:val="24"/>
      <w:szCs w:val="24"/>
      <w:lang w:val="en-GB" w:eastAsia="en-US"/>
    </w:rPr>
  </w:style>
  <w:style w:type="character" w:customStyle="1" w:styleId="Heading6Char">
    <w:name w:val="Heading 6 Char"/>
    <w:basedOn w:val="DefaultParagraphFont"/>
    <w:link w:val="Heading6"/>
    <w:uiPriority w:val="9"/>
    <w:rsid w:val="00E1693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169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69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1693A"/>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E1693A"/>
    <w:pPr>
      <w:tabs>
        <w:tab w:val="center" w:pos="4680"/>
        <w:tab w:val="right" w:pos="9360"/>
      </w:tabs>
      <w:spacing w:after="0" w:line="240" w:lineRule="auto"/>
      <w:ind w:left="0" w:firstLine="0"/>
      <w:jc w:val="left"/>
    </w:pPr>
    <w:rPr>
      <w:rFonts w:asciiTheme="minorHAnsi" w:eastAsiaTheme="minorEastAsia" w:hAnsiTheme="minorHAnsi" w:cstheme="minorBidi"/>
      <w:color w:val="auto"/>
    </w:rPr>
  </w:style>
  <w:style w:type="character" w:customStyle="1" w:styleId="FooterChar">
    <w:name w:val="Footer Char"/>
    <w:basedOn w:val="DefaultParagraphFont"/>
    <w:link w:val="Footer"/>
    <w:uiPriority w:val="99"/>
    <w:rsid w:val="00E1693A"/>
  </w:style>
  <w:style w:type="table" w:styleId="TableGrid0">
    <w:name w:val="Table Grid"/>
    <w:basedOn w:val="TableNormal"/>
    <w:uiPriority w:val="39"/>
    <w:rsid w:val="00E1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para">
    <w:name w:val="ESS para"/>
    <w:basedOn w:val="Normal"/>
    <w:link w:val="ESSparaChar"/>
    <w:qFormat/>
    <w:rsid w:val="00E1693A"/>
    <w:pPr>
      <w:numPr>
        <w:numId w:val="1"/>
      </w:numPr>
      <w:spacing w:after="240" w:line="240" w:lineRule="auto"/>
    </w:pPr>
    <w:rPr>
      <w:rFonts w:asciiTheme="minorHAnsi" w:eastAsiaTheme="minorEastAsia" w:hAnsiTheme="minorHAnsi" w:cstheme="minorBidi"/>
      <w:color w:val="auto"/>
    </w:rPr>
  </w:style>
  <w:style w:type="character" w:customStyle="1" w:styleId="ESSparaChar">
    <w:name w:val="ESS para Char"/>
    <w:basedOn w:val="DefaultParagraphFont"/>
    <w:link w:val="ESSpara"/>
    <w:rsid w:val="00E1693A"/>
  </w:style>
  <w:style w:type="paragraph" w:styleId="FootnoteText">
    <w:name w:val="footnote text"/>
    <w:aliases w:val="fn,single space,footnote text,Nbpage Moens,Footnote Text BP"/>
    <w:basedOn w:val="Normal"/>
    <w:link w:val="FootnoteTextChar"/>
    <w:uiPriority w:val="99"/>
    <w:unhideWhenUsed/>
    <w:rsid w:val="00E1693A"/>
    <w:pPr>
      <w:spacing w:after="0" w:line="240" w:lineRule="auto"/>
      <w:ind w:left="0" w:firstLine="0"/>
      <w:jc w:val="left"/>
    </w:pPr>
    <w:rPr>
      <w:rFonts w:asciiTheme="minorHAnsi" w:eastAsiaTheme="minorEastAsia" w:hAnsiTheme="minorHAnsi" w:cstheme="minorBidi"/>
      <w:color w:val="auto"/>
      <w:sz w:val="20"/>
      <w:szCs w:val="20"/>
    </w:rPr>
  </w:style>
  <w:style w:type="character" w:customStyle="1" w:styleId="FootnoteTextChar">
    <w:name w:val="Footnote Text Char"/>
    <w:aliases w:val="fn Char,single space Char,footnote text Char,Nbpage Moens Char,Footnote Text BP Char"/>
    <w:basedOn w:val="DefaultParagraphFont"/>
    <w:link w:val="FootnoteText"/>
    <w:uiPriority w:val="99"/>
    <w:rsid w:val="00E1693A"/>
    <w:rPr>
      <w:sz w:val="20"/>
      <w:szCs w:val="20"/>
    </w:rPr>
  </w:style>
  <w:style w:type="character" w:styleId="FootnoteReference">
    <w:name w:val="footnote reference"/>
    <w:aliases w:val="ftref,16 Point,Superscript 6 Point,Footnote Reference Number"/>
    <w:basedOn w:val="DefaultParagraphFont"/>
    <w:uiPriority w:val="99"/>
    <w:unhideWhenUsed/>
    <w:rsid w:val="00E1693A"/>
    <w:rPr>
      <w:vertAlign w:val="superscript"/>
    </w:rPr>
  </w:style>
  <w:style w:type="paragraph" w:customStyle="1" w:styleId="essbullet">
    <w:name w:val="ess bullet"/>
    <w:basedOn w:val="Normal"/>
    <w:qFormat/>
    <w:rsid w:val="00E1693A"/>
    <w:pPr>
      <w:numPr>
        <w:ilvl w:val="1"/>
        <w:numId w:val="2"/>
      </w:numPr>
      <w:tabs>
        <w:tab w:val="left" w:pos="1080"/>
      </w:tabs>
      <w:spacing w:after="240" w:line="240" w:lineRule="auto"/>
    </w:pPr>
    <w:rPr>
      <w:rFonts w:asciiTheme="minorHAnsi" w:eastAsiaTheme="minorEastAsia" w:hAnsiTheme="minorHAnsi" w:cs="Times New Roman"/>
      <w:color w:val="auto"/>
      <w:lang w:eastAsia="en-US"/>
    </w:rPr>
  </w:style>
  <w:style w:type="paragraph" w:customStyle="1" w:styleId="essobjbull">
    <w:name w:val="ess obj bull"/>
    <w:basedOn w:val="essbullet"/>
    <w:link w:val="essobjbullChar"/>
    <w:qFormat/>
    <w:rsid w:val="00E1693A"/>
    <w:pPr>
      <w:spacing w:after="120"/>
      <w:ind w:left="360"/>
    </w:pPr>
  </w:style>
  <w:style w:type="character" w:customStyle="1" w:styleId="essobjbullChar">
    <w:name w:val="ess obj bull Char"/>
    <w:basedOn w:val="DefaultParagraphFont"/>
    <w:link w:val="essobjbull"/>
    <w:rsid w:val="00E1693A"/>
    <w:rPr>
      <w:rFonts w:cs="Times New Roman"/>
      <w:lang w:eastAsia="en-US"/>
    </w:rPr>
  </w:style>
  <w:style w:type="paragraph" w:styleId="ListContinue">
    <w:name w:val="List Continue"/>
    <w:basedOn w:val="BodyText"/>
    <w:rsid w:val="00E1693A"/>
    <w:pPr>
      <w:widowControl w:val="0"/>
      <w:numPr>
        <w:ilvl w:val="1"/>
        <w:numId w:val="4"/>
      </w:numPr>
      <w:tabs>
        <w:tab w:val="left" w:pos="680"/>
      </w:tabs>
      <w:spacing w:after="0" w:line="240" w:lineRule="auto"/>
      <w:ind w:left="680" w:hanging="113"/>
      <w:jc w:val="both"/>
    </w:pPr>
    <w:rPr>
      <w:rFonts w:ascii="Cambria" w:eastAsia="Times New Roman" w:hAnsi="Cambria" w:cs="Times New Roman"/>
      <w:szCs w:val="20"/>
      <w:lang w:eastAsia="en-US"/>
    </w:rPr>
  </w:style>
  <w:style w:type="paragraph" w:styleId="BodyText">
    <w:name w:val="Body Text"/>
    <w:basedOn w:val="Normal"/>
    <w:link w:val="BodyTextChar"/>
    <w:uiPriority w:val="99"/>
    <w:unhideWhenUsed/>
    <w:qFormat/>
    <w:rsid w:val="00E1693A"/>
    <w:pPr>
      <w:spacing w:after="120" w:line="259" w:lineRule="auto"/>
      <w:ind w:left="0" w:firstLine="0"/>
      <w:jc w:val="left"/>
    </w:pPr>
    <w:rPr>
      <w:rFonts w:asciiTheme="minorHAnsi" w:eastAsiaTheme="minorEastAsia" w:hAnsiTheme="minorHAnsi" w:cstheme="minorBidi"/>
      <w:color w:val="auto"/>
    </w:rPr>
  </w:style>
  <w:style w:type="character" w:customStyle="1" w:styleId="BodyTextChar">
    <w:name w:val="Body Text Char"/>
    <w:basedOn w:val="DefaultParagraphFont"/>
    <w:link w:val="BodyText"/>
    <w:uiPriority w:val="99"/>
    <w:semiHidden/>
    <w:rsid w:val="00E1693A"/>
  </w:style>
  <w:style w:type="character" w:customStyle="1" w:styleId="Hyperlink1">
    <w:name w:val="Hyperlink1"/>
    <w:basedOn w:val="DefaultParagraphFont"/>
    <w:uiPriority w:val="99"/>
    <w:unhideWhenUsed/>
    <w:rsid w:val="00E1693A"/>
    <w:rPr>
      <w:color w:val="0000FF"/>
      <w:u w:val="single"/>
    </w:rPr>
  </w:style>
  <w:style w:type="character" w:styleId="Hyperlink">
    <w:name w:val="Hyperlink"/>
    <w:basedOn w:val="DefaultParagraphFont"/>
    <w:uiPriority w:val="99"/>
    <w:unhideWhenUsed/>
    <w:rsid w:val="00E1693A"/>
    <w:rPr>
      <w:color w:val="0563C1" w:themeColor="hyperlink"/>
      <w:u w:val="single"/>
    </w:rPr>
  </w:style>
  <w:style w:type="character" w:customStyle="1" w:styleId="ListParagraphChar">
    <w:name w:val="List Paragraph Char"/>
    <w:aliases w:val="Bullet list first level Char,Citation List Char,본문(내용) Char,List Paragraph (numbered (a)) Char"/>
    <w:basedOn w:val="DefaultParagraphFont"/>
    <w:link w:val="ListParagraph"/>
    <w:uiPriority w:val="34"/>
    <w:rsid w:val="00E1693A"/>
    <w:rPr>
      <w:rFonts w:ascii="Calibri" w:eastAsia="Calibri" w:hAnsi="Calibri" w:cs="Calibri"/>
      <w:color w:val="000000"/>
    </w:rPr>
  </w:style>
  <w:style w:type="paragraph" w:customStyle="1" w:styleId="Default">
    <w:name w:val="Default"/>
    <w:rsid w:val="00E1693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E1693A"/>
    <w:rPr>
      <w:i/>
      <w:iCs/>
    </w:rPr>
  </w:style>
  <w:style w:type="paragraph" w:styleId="BodyTextIndent">
    <w:name w:val="Body Text Indent"/>
    <w:basedOn w:val="Normal"/>
    <w:link w:val="BodyTextIndentChar"/>
    <w:uiPriority w:val="99"/>
    <w:semiHidden/>
    <w:unhideWhenUsed/>
    <w:rsid w:val="00E1693A"/>
    <w:pPr>
      <w:spacing w:after="120" w:line="259" w:lineRule="auto"/>
      <w:ind w:left="360" w:firstLine="0"/>
      <w:jc w:val="left"/>
    </w:pPr>
    <w:rPr>
      <w:rFonts w:asciiTheme="minorHAnsi" w:eastAsiaTheme="minorEastAsia" w:hAnsiTheme="minorHAnsi" w:cstheme="minorBidi"/>
      <w:color w:val="auto"/>
    </w:rPr>
  </w:style>
  <w:style w:type="character" w:customStyle="1" w:styleId="BodyTextIndentChar">
    <w:name w:val="Body Text Indent Char"/>
    <w:basedOn w:val="DefaultParagraphFont"/>
    <w:link w:val="BodyTextIndent"/>
    <w:uiPriority w:val="99"/>
    <w:semiHidden/>
    <w:rsid w:val="00E1693A"/>
  </w:style>
  <w:style w:type="paragraph" w:customStyle="1" w:styleId="TableParagraph">
    <w:name w:val="Table Paragraph"/>
    <w:basedOn w:val="Normal"/>
    <w:uiPriority w:val="1"/>
    <w:qFormat/>
    <w:rsid w:val="00DE41EC"/>
    <w:pPr>
      <w:widowControl w:val="0"/>
      <w:autoSpaceDE w:val="0"/>
      <w:autoSpaceDN w:val="0"/>
      <w:spacing w:after="0" w:line="240" w:lineRule="auto"/>
      <w:ind w:left="83" w:firstLine="0"/>
    </w:pPr>
    <w:rPr>
      <w:color w:val="auto"/>
      <w:lang w:eastAsia="en-US"/>
    </w:rPr>
  </w:style>
  <w:style w:type="table" w:customStyle="1" w:styleId="TableGrid1">
    <w:name w:val="Table Grid1"/>
    <w:basedOn w:val="TableNormal"/>
    <w:next w:val="TableGrid0"/>
    <w:uiPriority w:val="59"/>
    <w:rsid w:val="00AB2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2DCD"/>
    <w:pPr>
      <w:spacing w:after="0" w:line="240" w:lineRule="auto"/>
    </w:pPr>
  </w:style>
  <w:style w:type="paragraph" w:customStyle="1" w:styleId="footnotedescription">
    <w:name w:val="footnote description"/>
    <w:next w:val="Normal"/>
    <w:link w:val="footnotedescriptionChar"/>
    <w:hidden/>
    <w:rsid w:val="008400EF"/>
    <w:pPr>
      <w:spacing w:after="0" w:line="252" w:lineRule="auto"/>
      <w:ind w:right="5"/>
      <w:jc w:val="both"/>
    </w:pPr>
    <w:rPr>
      <w:rFonts w:ascii="Calibri" w:eastAsia="Times New Roman" w:hAnsi="Calibri" w:cs="Calibri"/>
      <w:color w:val="000000"/>
      <w:sz w:val="20"/>
      <w:lang w:eastAsia="en-US"/>
    </w:rPr>
  </w:style>
  <w:style w:type="character" w:customStyle="1" w:styleId="footnotedescriptionChar">
    <w:name w:val="footnote description Char"/>
    <w:link w:val="footnotedescription"/>
    <w:locked/>
    <w:rsid w:val="008400EF"/>
    <w:rPr>
      <w:rFonts w:ascii="Calibri" w:eastAsia="Times New Roman" w:hAnsi="Calibri" w:cs="Calibri"/>
      <w:color w:val="000000"/>
      <w:sz w:val="20"/>
      <w:lang w:eastAsia="en-US"/>
    </w:rPr>
  </w:style>
  <w:style w:type="character" w:customStyle="1" w:styleId="footnotemark">
    <w:name w:val="footnote mark"/>
    <w:hidden/>
    <w:rsid w:val="008400EF"/>
    <w:rPr>
      <w:rFonts w:ascii="Calibri" w:eastAsia="Times New Roman" w:hAnsi="Calibri"/>
      <w:color w:val="000000"/>
      <w:sz w:val="20"/>
      <w:vertAlign w:val="superscript"/>
    </w:rPr>
  </w:style>
  <w:style w:type="paragraph" w:customStyle="1" w:styleId="p1">
    <w:name w:val="p1"/>
    <w:basedOn w:val="Normal"/>
    <w:rsid w:val="008400EF"/>
    <w:pPr>
      <w:shd w:val="clear" w:color="auto" w:fill="FFFFFF"/>
      <w:spacing w:after="0" w:line="240" w:lineRule="auto"/>
      <w:ind w:left="0" w:firstLine="0"/>
      <w:jc w:val="left"/>
    </w:pPr>
    <w:rPr>
      <w:rFonts w:ascii="Helvetica" w:eastAsiaTheme="minorHAnsi" w:hAnsi="Helvetica" w:cs="Times New Roman"/>
      <w:color w:val="252525"/>
      <w:sz w:val="21"/>
      <w:szCs w:val="21"/>
      <w:lang w:eastAsia="en-US"/>
    </w:rPr>
  </w:style>
  <w:style w:type="character" w:customStyle="1" w:styleId="s1">
    <w:name w:val="s1"/>
    <w:basedOn w:val="DefaultParagraphFont"/>
    <w:rsid w:val="008400EF"/>
  </w:style>
  <w:style w:type="table" w:customStyle="1" w:styleId="TableGrid2">
    <w:name w:val="Table Grid2"/>
    <w:basedOn w:val="TableNormal"/>
    <w:next w:val="TableGrid0"/>
    <w:uiPriority w:val="59"/>
    <w:rsid w:val="00E7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1897"/>
    <w:pPr>
      <w:spacing w:after="0" w:line="240" w:lineRule="auto"/>
    </w:pPr>
  </w:style>
  <w:style w:type="table" w:customStyle="1" w:styleId="TableGrid3">
    <w:name w:val="Table Grid3"/>
    <w:basedOn w:val="TableNormal"/>
    <w:next w:val="TableGrid0"/>
    <w:uiPriority w:val="59"/>
    <w:rsid w:val="00E7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59"/>
    <w:rsid w:val="00E7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alpha">
    <w:name w:val="ess alpha"/>
    <w:basedOn w:val="ListParagraph"/>
    <w:link w:val="essalphaChar"/>
    <w:qFormat/>
    <w:rsid w:val="00E71897"/>
    <w:pPr>
      <w:spacing w:after="240" w:line="240" w:lineRule="auto"/>
      <w:ind w:left="0" w:firstLine="0"/>
      <w:contextualSpacing w:val="0"/>
    </w:pPr>
    <w:rPr>
      <w:rFonts w:asciiTheme="minorHAnsi" w:eastAsiaTheme="minorEastAsia" w:hAnsiTheme="minorHAnsi" w:cs="Times New Roman"/>
      <w:color w:val="auto"/>
      <w:lang w:eastAsia="en-US"/>
    </w:rPr>
  </w:style>
  <w:style w:type="character" w:customStyle="1" w:styleId="essalphaChar">
    <w:name w:val="ess alpha Char"/>
    <w:basedOn w:val="DefaultParagraphFont"/>
    <w:link w:val="essalpha"/>
    <w:rsid w:val="00E71897"/>
    <w:rPr>
      <w:rFonts w:cs="Times New Roman"/>
      <w:lang w:eastAsia="en-US"/>
    </w:rPr>
  </w:style>
  <w:style w:type="table" w:customStyle="1" w:styleId="TableGrid5">
    <w:name w:val="Table Grid5"/>
    <w:basedOn w:val="TableNormal"/>
    <w:next w:val="TableGrid0"/>
    <w:uiPriority w:val="39"/>
    <w:rsid w:val="00E718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1897"/>
    <w:pPr>
      <w:spacing w:after="150" w:line="240" w:lineRule="auto"/>
      <w:ind w:left="0" w:firstLine="0"/>
      <w:jc w:val="left"/>
    </w:pPr>
    <w:rPr>
      <w:rFonts w:ascii="Times New Roman" w:eastAsiaTheme="minorEastAsia" w:hAnsi="Times New Roman" w:cs="Times New Roman"/>
      <w:color w:val="auto"/>
      <w:sz w:val="24"/>
      <w:szCs w:val="24"/>
    </w:rPr>
  </w:style>
  <w:style w:type="character" w:styleId="Strong">
    <w:name w:val="Strong"/>
    <w:basedOn w:val="DefaultParagraphFont"/>
    <w:uiPriority w:val="22"/>
    <w:qFormat/>
    <w:rsid w:val="00E71897"/>
    <w:rPr>
      <w:b/>
      <w:bCs/>
    </w:rPr>
  </w:style>
  <w:style w:type="paragraph" w:styleId="TOCHeading">
    <w:name w:val="TOC Heading"/>
    <w:basedOn w:val="Heading1"/>
    <w:next w:val="Normal"/>
    <w:uiPriority w:val="39"/>
    <w:unhideWhenUsed/>
    <w:qFormat/>
    <w:rsid w:val="00C01835"/>
    <w:pPr>
      <w:numPr>
        <w:numId w:val="0"/>
      </w:numPr>
      <w:spacing w:before="240" w:line="259" w:lineRule="auto"/>
      <w:jc w:val="left"/>
      <w:outlineLvl w:val="9"/>
    </w:pPr>
    <w:rPr>
      <w:rFonts w:asciiTheme="majorHAnsi" w:hAnsiTheme="majorHAnsi"/>
      <w:b w:val="0"/>
      <w:bCs w:val="0"/>
      <w:color w:val="2E74B5" w:themeColor="accent1" w:themeShade="BF"/>
      <w:szCs w:val="32"/>
      <w:lang w:eastAsia="en-US"/>
    </w:rPr>
  </w:style>
  <w:style w:type="paragraph" w:styleId="TOC1">
    <w:name w:val="toc 1"/>
    <w:basedOn w:val="Normal"/>
    <w:next w:val="Normal"/>
    <w:autoRedefine/>
    <w:uiPriority w:val="39"/>
    <w:unhideWhenUsed/>
    <w:rsid w:val="00C01835"/>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59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9D97B-692D-4DEF-A661-F4A32096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4113</Words>
  <Characters>23449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Tsuda</dc:creator>
  <cp:keywords/>
  <cp:lastModifiedBy>Anne-Katrin Arnold</cp:lastModifiedBy>
  <cp:revision>6</cp:revision>
  <cp:lastPrinted>2017-11-01T18:42:00Z</cp:lastPrinted>
  <dcterms:created xsi:type="dcterms:W3CDTF">2017-11-01T18:40:00Z</dcterms:created>
  <dcterms:modified xsi:type="dcterms:W3CDTF">2017-11-01T18:42:00Z</dcterms:modified>
</cp:coreProperties>
</file>