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0" w:rsidRPr="004B3500" w:rsidRDefault="004B3500" w:rsidP="004B3500">
      <w:pPr>
        <w:spacing w:before="120" w:after="120" w:line="240" w:lineRule="auto"/>
        <w:jc w:val="center"/>
        <w:rPr>
          <w:rFonts w:ascii="Calibri" w:eastAsia="Times New Roman" w:hAnsi="Calibri" w:cs="Times New Roman"/>
          <w:lang w:val="fr-FR"/>
        </w:rPr>
      </w:pPr>
      <w:r w:rsidRPr="004B3500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RÉPONSE D’URGENCE COVID 19</w:t>
      </w:r>
    </w:p>
    <w:p w:rsidR="004B3500" w:rsidRPr="004B3500" w:rsidRDefault="004B3500" w:rsidP="004B3500">
      <w:pPr>
        <w:spacing w:before="120" w:after="120" w:line="240" w:lineRule="auto"/>
        <w:jc w:val="center"/>
        <w:rPr>
          <w:rFonts w:ascii="Calibri" w:eastAsia="Times New Roman" w:hAnsi="Calibri" w:cs="Times New Roman"/>
          <w:lang w:val="fr-FR"/>
        </w:rPr>
      </w:pPr>
      <w:r w:rsidRPr="004B3500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RÉSUMÉ DE</w:t>
      </w:r>
      <w:r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S PRINCIPES CLE</w:t>
      </w:r>
    </w:p>
    <w:p w:rsidR="004B3500" w:rsidRPr="004B3500" w:rsidRDefault="004B3500" w:rsidP="004B3500">
      <w:pPr>
        <w:spacing w:before="120" w:after="120" w:line="240" w:lineRule="auto"/>
        <w:jc w:val="center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FOURNITURES</w:t>
      </w:r>
      <w:r w:rsidRPr="004B3500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 xml:space="preserve">- </w:t>
      </w:r>
      <w:r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DOCUMENTS POUR D</w:t>
      </w:r>
      <w:r w:rsidR="005A6292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 xml:space="preserve">EMANDE DE </w:t>
      </w:r>
      <w:r w:rsidR="007754EF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C</w:t>
      </w:r>
      <w:r w:rsidR="005A6292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OTATION</w:t>
      </w:r>
      <w:r w:rsidRPr="004B3500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 xml:space="preserve"> et </w:t>
      </w:r>
      <w:r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 xml:space="preserve">MARCHES </w:t>
      </w:r>
      <w:r w:rsidR="005A6292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PAR ENTENTE DIRECTE</w:t>
      </w:r>
      <w:r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 xml:space="preserve"> </w:t>
      </w:r>
      <w:r w:rsidRPr="004B3500">
        <w:rPr>
          <w:rFonts w:ascii="Calibri" w:eastAsia="Times New Roman" w:hAnsi="Calibri" w:cs="Times New Roman"/>
          <w:b/>
          <w:bCs/>
          <w:sz w:val="32"/>
          <w:szCs w:val="32"/>
          <w:lang w:val="fr-FR"/>
        </w:rPr>
        <w:t>- Mars 2020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790"/>
        <w:gridCol w:w="3283"/>
        <w:gridCol w:w="3283"/>
        <w:gridCol w:w="2879"/>
      </w:tblGrid>
      <w:tr w:rsidR="004B3500" w:rsidRPr="004B3500" w:rsidTr="004B3500">
        <w:trPr>
          <w:tblHeader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90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non.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Objet</w:t>
            </w:r>
          </w:p>
        </w:tc>
        <w:tc>
          <w:tcPr>
            <w:tcW w:w="6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Caractéristiques clés de description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Risque et atténuation</w:t>
            </w:r>
          </w:p>
        </w:tc>
      </w:tr>
      <w:tr w:rsidR="004B3500" w:rsidRPr="004B3500" w:rsidTr="004B350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77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 xml:space="preserve">Demande de </w:t>
            </w:r>
            <w:r w:rsidR="007754EF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Cotations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Marché Gré à Gré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4B3500" w:rsidRPr="00CC3B98" w:rsidTr="004B3500"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90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1.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500" w:rsidRPr="004B3500" w:rsidRDefault="004B3500" w:rsidP="004B3500">
            <w:pPr>
              <w:shd w:val="clear" w:color="auto" w:fill="F0F0A0"/>
              <w:spacing w:after="0" w:line="240" w:lineRule="auto"/>
              <w:rPr>
                <w:rFonts w:ascii="Calibri" w:eastAsia="Times New Roman" w:hAnsi="Calibri" w:cs="Times New Roman"/>
                <w:b/>
                <w:color w:val="0F0F5F"/>
                <w:lang w:val="fr-FR"/>
              </w:rPr>
            </w:pPr>
            <w:r w:rsidRPr="005A6292">
              <w:rPr>
                <w:rFonts w:ascii="Calibri" w:eastAsia="Times New Roman" w:hAnsi="Calibri" w:cs="Times New Roman"/>
                <w:b/>
                <w:lang w:val="fr-FR"/>
              </w:rPr>
              <w:t>Portée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Articles requis pour les opérations d’intervention d’urgence. </w:t>
            </w:r>
          </w:p>
        </w:tc>
        <w:tc>
          <w:tcPr>
            <w:tcW w:w="2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before="40" w:after="40" w:line="240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lang w:val="fr-FR"/>
              </w:rPr>
              <w:t>Risque :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impact </w:t>
            </w:r>
            <w:r w:rsidR="00F25D7D">
              <w:rPr>
                <w:rFonts w:ascii="Calibri" w:eastAsia="Times New Roman" w:hAnsi="Calibri" w:cs="Times New Roman"/>
                <w:lang w:val="fr-FR"/>
              </w:rPr>
              <w:t>de</w:t>
            </w:r>
            <w:r w:rsidR="00F25D7D"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méthode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compétitive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moins rigoureuse</w:t>
            </w:r>
          </w:p>
          <w:p w:rsidR="004B3500" w:rsidRPr="004B3500" w:rsidRDefault="004B3500" w:rsidP="004B3500">
            <w:pPr>
              <w:spacing w:before="40" w:after="40" w:line="240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 </w:t>
            </w:r>
          </w:p>
          <w:p w:rsidR="004B3500" w:rsidRPr="004B3500" w:rsidRDefault="004B3500" w:rsidP="004B3500">
            <w:pPr>
              <w:spacing w:before="40" w:after="40" w:line="240" w:lineRule="auto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lang w:val="fr-FR"/>
              </w:rPr>
              <w:t>Atténuation :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dispositions améliorées par rapport à la demande conventionnelle de devis telles que :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On s’attend à ce que le risque d’inclure un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ournisseur/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abricant non qualifié soit géré avant de demander des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Cotations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, c’est-à-dire lorsque la liste des entreprises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à solliciter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est établie. 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Contrôle de la qualité : référence aux spécifications et normes recommandées par l’OMS; 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proofErr w:type="gramStart"/>
            <w:r w:rsidRPr="004B3500">
              <w:rPr>
                <w:rFonts w:ascii="Calibri" w:eastAsia="Times New Roman" w:hAnsi="Calibri" w:cs="Times New Roman"/>
                <w:lang w:val="fr-FR"/>
              </w:rPr>
              <w:t>autorisation</w:t>
            </w:r>
            <w:proofErr w:type="gramEnd"/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du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abricant requise pour les non-fabricants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Soumission électronique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lastRenderedPageBreak/>
              <w:t>de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c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otations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sous forme de fichiers numérisés non modifiables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.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Les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ournisseurs peuvent demander des éclaircissements sur les raisons pour lesquelles ils ne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sont pas retenus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;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l’A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cheteur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doit donner suite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dans un délai raisonnable (pas de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période d’attente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).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Publication de l’attribution du contrat dans les 15 jours ou dès que possible par la suite (en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tenant compte de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la nature d’urgence)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.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Garanties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de remboursement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d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’avance de démarrage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pour les avances dépassant normalement 10 %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 du montant du marché.</w:t>
            </w:r>
          </w:p>
          <w:p w:rsidR="004B3500" w:rsidRPr="004B3500" w:rsidRDefault="004B3500" w:rsidP="004B3500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Des dispositions telles que le règlement des différends, la force majeure, la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résiliation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, les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droits de</w:t>
            </w:r>
            <w:r w:rsidR="00C8247C" w:rsidRPr="004B3500">
              <w:rPr>
                <w:rFonts w:ascii="Calibri" w:eastAsia="Times New Roman" w:hAnsi="Calibri" w:cs="Times New Roman"/>
                <w:lang w:val="fr-FR"/>
              </w:rPr>
              <w:t xml:space="preserve"> la Banque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de conduire des audits</w:t>
            </w:r>
            <w:r w:rsidR="00C8247C" w:rsidRPr="004B3500" w:rsidDel="00C8247C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et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F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raude et Corruption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sont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lastRenderedPageBreak/>
              <w:t>incluses.</w:t>
            </w:r>
          </w:p>
          <w:p w:rsidR="004B3500" w:rsidRPr="004B3500" w:rsidRDefault="004B3500" w:rsidP="004B3500">
            <w:pPr>
              <w:spacing w:after="0" w:line="240" w:lineRule="auto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 </w:t>
            </w: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color w:val="0F0F5F"/>
                <w:lang w:val="fr-F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5A6292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Processus concurrentiel simplifié : devrait être utilisé quelle que soit </w:t>
            </w:r>
            <w:r w:rsidR="005A6292">
              <w:rPr>
                <w:rFonts w:ascii="Calibri" w:eastAsia="Times New Roman" w:hAnsi="Calibri" w:cs="Times New Roman"/>
                <w:lang w:val="fr-FR"/>
              </w:rPr>
              <w:t>le montant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5A6292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="005A6292">
              <w:rPr>
                <w:rFonts w:ascii="Calibri" w:eastAsia="Times New Roman" w:hAnsi="Calibri" w:cs="Times New Roman"/>
                <w:lang w:val="fr-FR"/>
              </w:rPr>
              <w:t>pou</w:t>
            </w:r>
            <w:r w:rsidR="00EE76FD">
              <w:rPr>
                <w:rFonts w:ascii="Calibri" w:eastAsia="Times New Roman" w:hAnsi="Calibri" w:cs="Times New Roman"/>
                <w:lang w:val="fr-FR"/>
              </w:rPr>
              <w:t>r</w:t>
            </w:r>
            <w:bookmarkStart w:id="0" w:name="_GoBack"/>
            <w:bookmarkEnd w:id="0"/>
            <w:r w:rsidR="005A6292" w:rsidRPr="004B3500">
              <w:rPr>
                <w:rFonts w:ascii="Calibri" w:eastAsia="Times New Roman" w:hAnsi="Calibri" w:cs="Times New Roman"/>
                <w:lang w:val="fr-FR"/>
              </w:rPr>
              <w:t xml:space="preserve">rait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être utilisé </w:t>
            </w:r>
            <w:r w:rsidR="005A6292">
              <w:rPr>
                <w:rFonts w:ascii="Calibri" w:eastAsia="Times New Roman" w:hAnsi="Calibri" w:cs="Times New Roman"/>
                <w:lang w:val="fr-FR"/>
              </w:rPr>
              <w:t>quel que soit le montant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90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2.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CC3B98" w:rsidRDefault="004B3500" w:rsidP="004B3500">
            <w:pPr>
              <w:spacing w:after="0" w:line="240" w:lineRule="auto"/>
              <w:ind w:left="-2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Processus </w:t>
            </w:r>
            <w:r w:rsidR="00B72A58">
              <w:rPr>
                <w:rFonts w:ascii="Calibri" w:eastAsia="Times New Roman" w:hAnsi="Calibri" w:cs="Times New Roman"/>
                <w:b/>
                <w:bCs/>
                <w:lang w:val="fr-FR"/>
              </w:rPr>
              <w:t>de passation de marché</w:t>
            </w:r>
            <w:r w:rsidR="00B72A58" w:rsidRPr="004B3500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</w:t>
            </w:r>
            <w:r w:rsidRPr="004B3500">
              <w:rPr>
                <w:rFonts w:ascii="Calibri" w:eastAsia="Times New Roman" w:hAnsi="Calibri" w:cs="Times New Roman"/>
                <w:b/>
                <w:bCs/>
                <w:lang w:val="fr-FR"/>
              </w:rPr>
              <w:t>simplifié</w:t>
            </w:r>
          </w:p>
          <w:p w:rsidR="004B3500" w:rsidRPr="00CC3B98" w:rsidRDefault="004B3500" w:rsidP="004B3500">
            <w:pPr>
              <w:spacing w:after="0" w:line="240" w:lineRule="auto"/>
              <w:rPr>
                <w:rFonts w:ascii="Calibri" w:eastAsia="Times New Roman" w:hAnsi="Calibri" w:cs="Times New Roman"/>
                <w:lang w:val="fr-FR"/>
              </w:rPr>
            </w:pPr>
            <w:r w:rsidRPr="00CC3B98">
              <w:rPr>
                <w:rFonts w:ascii="Calibri" w:eastAsia="Times New Roman" w:hAnsi="Calibri" w:cs="Times New Roman"/>
                <w:lang w:val="fr-FR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B72A58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Envoi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de la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DC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et soumission de 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>c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o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>tations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 xml:space="preserve"> par voie électronique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B72A58">
            <w:pPr>
              <w:spacing w:after="0" w:line="240" w:lineRule="auto"/>
              <w:ind w:left="211" w:hanging="18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Envoi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d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e l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’invitation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pour entente directe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et soumission d’offre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 xml:space="preserve"> par voie électronique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Communications électroniques, y compris (systèmes 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>d’a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cha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 xml:space="preserve">t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électronique, courriel et télécopieur) comme principale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forme de communication entre l’A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cheteur et les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ournisseurs; </w:t>
            </w:r>
          </w:p>
          <w:p w:rsidR="004B3500" w:rsidRPr="004B3500" w:rsidRDefault="004B3500" w:rsidP="004B3500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toutes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réunions virtuelles (audio/vidéo)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4B3500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7754EF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Pas d’ouverture publique des c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otations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ind w:left="211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N/A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4B3500" w:rsidRPr="004B3500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B72A58">
            <w:pPr>
              <w:spacing w:after="0" w:line="240" w:lineRule="auto"/>
              <w:ind w:left="256" w:hanging="270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 xml:space="preserve">Pas de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>G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arantie d’offre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ind w:left="211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N/A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7754EF">
            <w:pPr>
              <w:spacing w:after="0" w:line="240" w:lineRule="auto"/>
              <w:ind w:left="256" w:hanging="25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Garantie de bonne exécution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normalement non requise; dans des circonstances exceptionnelles, la </w:t>
            </w:r>
            <w:r w:rsidR="007754EF">
              <w:rPr>
                <w:rFonts w:ascii="Calibri" w:eastAsia="Times New Roman" w:hAnsi="Calibri" w:cs="Times New Roman"/>
                <w:lang w:val="fr-FR"/>
              </w:rPr>
              <w:t xml:space="preserve">Garantie de bonne exécution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peut être demandée (basée sur le risque)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B72A58">
            <w:pPr>
              <w:spacing w:before="40" w:after="40" w:line="240" w:lineRule="auto"/>
              <w:ind w:left="256" w:hanging="25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Option : Période de livraison à partir d’une étape précise (s’il y a urgence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,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de courtes périodes de livraison pourraient être spécifiées)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520C71">
            <w:pPr>
              <w:spacing w:before="40" w:after="40" w:line="240" w:lineRule="auto"/>
              <w:ind w:left="256" w:hanging="27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Option : La livraison peut ou non inclure les coûts de transport intérieur selon les circonstances (pour minimiser la perception des risques des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ournisseurs étrangers; permettre la flexibilité)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before="40" w:after="40" w:line="240" w:lineRule="auto"/>
              <w:ind w:left="256" w:hanging="25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Option : pour livraison partielle et/ou progressive (flexibilité)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B72A58">
            <w:pPr>
              <w:spacing w:after="0" w:line="240" w:lineRule="auto"/>
              <w:ind w:left="301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Option: CIP/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FCA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520C71" w:rsidRPr="00520C71">
              <w:rPr>
                <w:rFonts w:ascii="Calibri" w:eastAsia="Times New Roman" w:hAnsi="Calibri" w:cs="Times New Roman"/>
                <w:lang w:val="fr-FR"/>
              </w:rPr>
              <w:t xml:space="preserve">pour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F</w:t>
            </w:r>
            <w:r w:rsidR="00B72A58" w:rsidRPr="00520C71">
              <w:rPr>
                <w:rFonts w:ascii="Calibri" w:eastAsia="Times New Roman" w:hAnsi="Calibri" w:cs="Times New Roman"/>
                <w:lang w:val="fr-FR"/>
              </w:rPr>
              <w:t xml:space="preserve">ournitures </w:t>
            </w:r>
            <w:r w:rsidR="00520C71" w:rsidRPr="00520C71">
              <w:rPr>
                <w:rFonts w:ascii="Calibri" w:eastAsia="Times New Roman" w:hAnsi="Calibri" w:cs="Times New Roman"/>
                <w:lang w:val="fr-FR"/>
              </w:rPr>
              <w:t>en provenance de l’étranger pour satisfaire la possibilit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é de négociations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B72A58">
            <w:pPr>
              <w:spacing w:before="40" w:after="40" w:line="240" w:lineRule="auto"/>
              <w:ind w:left="256" w:hanging="256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Option : l’évaluation pourrait être pour l’ensemble des éléments,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 xml:space="preserve">par article ou par article avec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livraison partielle (flexibilité)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520C71">
            <w:pPr>
              <w:spacing w:after="0" w:line="240" w:lineRule="auto"/>
              <w:ind w:left="301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Évaluation faite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article par article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before="40" w:after="40" w:line="240" w:lineRule="auto"/>
              <w:ind w:left="301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proofErr w:type="gramStart"/>
            <w:r w:rsidRPr="004B3500">
              <w:rPr>
                <w:rFonts w:ascii="Calibri" w:eastAsia="Times New Roman" w:hAnsi="Calibri" w:cs="Times New Roman"/>
                <w:lang w:val="fr-FR"/>
              </w:rPr>
              <w:t>évaluation</w:t>
            </w:r>
            <w:proofErr w:type="gramEnd"/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simplifiée et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attribué sur la base d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u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coût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 xml:space="preserve">évalué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le moins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disant</w:t>
            </w:r>
            <w:r w:rsidR="00B72A58"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après avoir confirmé la conformité technique -</w:t>
            </w:r>
            <w:r w:rsidRPr="004B3500">
              <w:rPr>
                <w:rFonts w:ascii="Calibri" w:eastAsia="Times New Roman" w:hAnsi="Calibri" w:cs="Times New Roman"/>
                <w:i/>
                <w:iCs/>
                <w:lang w:val="fr-FR"/>
              </w:rPr>
              <w:t xml:space="preserve"> voir les conseils de négociation</w:t>
            </w:r>
            <w:r w:rsidR="00520C71">
              <w:rPr>
                <w:rFonts w:ascii="Calibri" w:eastAsia="Times New Roman" w:hAnsi="Calibri" w:cs="Times New Roman"/>
                <w:i/>
                <w:iCs/>
                <w:lang w:val="fr-FR"/>
              </w:rPr>
              <w:t>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 xml:space="preserve">pour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la finalisation du contrat.</w:t>
            </w:r>
          </w:p>
          <w:p w:rsidR="004B3500" w:rsidRPr="004B3500" w:rsidRDefault="004B3500" w:rsidP="00520C71">
            <w:pPr>
              <w:spacing w:before="40" w:after="40" w:line="240" w:lineRule="auto"/>
              <w:ind w:left="301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monnaie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 xml:space="preserve">étrangère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unique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au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choix du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ournisseur (simplifier l’évaluation tout en gérant la perception du risque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pour le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ournisseur)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before="40" w:after="40" w:line="240" w:lineRule="auto"/>
              <w:ind w:left="301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Offre négociée et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marché conclus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(cela pourrait se produire pratiquement dans un court laps de temps) - un certain nombre de dispositions sont négociables - </w:t>
            </w:r>
            <w:r w:rsidRPr="004B3500">
              <w:rPr>
                <w:rFonts w:ascii="Calibri" w:eastAsia="Times New Roman" w:hAnsi="Calibri" w:cs="Times New Roman"/>
                <w:i/>
                <w:iCs/>
                <w:lang w:val="fr-FR"/>
              </w:rPr>
              <w:t>voir les conseils de négociation</w:t>
            </w:r>
            <w:r w:rsidR="00520C71">
              <w:rPr>
                <w:rFonts w:ascii="Calibri" w:eastAsia="Times New Roman" w:hAnsi="Calibri" w:cs="Times New Roman"/>
                <w:i/>
                <w:iCs/>
                <w:lang w:val="fr-FR"/>
              </w:rPr>
              <w:t>s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:rsidR="004B3500" w:rsidRPr="004B3500" w:rsidRDefault="004B3500" w:rsidP="004B3500">
            <w:pPr>
              <w:spacing w:after="0" w:line="240" w:lineRule="auto"/>
              <w:ind w:left="211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Calibri" w:eastAsia="Times New Roman" w:hAnsi="Calibri" w:cs="Times New Roman"/>
                <w:lang w:val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B72A58" w:rsidTr="004B3500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CC3B98" w:rsidRDefault="004B3500" w:rsidP="00B72A58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4B3500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 </w:t>
            </w:r>
            <w:r w:rsidRPr="004B350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520C71" w:rsidRPr="00520C71">
              <w:rPr>
                <w:rFonts w:ascii="Times New Roman" w:eastAsia="Times New Roman" w:hAnsi="Times New Roman" w:cs="Times New Roman"/>
                <w:lang w:val="fr-FR"/>
              </w:rPr>
              <w:t>Les Fournisseurs peuvent demander des é</w:t>
            </w:r>
            <w:r w:rsidR="00520C71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="00520C71" w:rsidRPr="00520C71">
              <w:rPr>
                <w:rFonts w:ascii="Times New Roman" w:eastAsia="Times New Roman" w:hAnsi="Times New Roman" w:cs="Times New Roman"/>
                <w:lang w:val="fr-FR"/>
              </w:rPr>
              <w:t>laircisseme</w:t>
            </w:r>
            <w:r w:rsidR="00520C71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="00520C71" w:rsidRPr="00520C71">
              <w:rPr>
                <w:rFonts w:ascii="Times New Roman" w:eastAsia="Times New Roman" w:hAnsi="Times New Roman" w:cs="Times New Roman"/>
                <w:lang w:val="fr-FR"/>
              </w:rPr>
              <w:t>ts</w:t>
            </w:r>
            <w:r w:rsidR="00520C71" w:rsidRPr="00520C71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 xml:space="preserve">sur l’attribution du marché ou déposer une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réclamation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.</w:t>
            </w:r>
            <w:r w:rsidRPr="004B3500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 xml:space="preserve">L’Acheteur doit répondre dans un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 xml:space="preserve">délai </w:t>
            </w:r>
            <w:r w:rsidR="00520C71">
              <w:rPr>
                <w:rFonts w:ascii="Calibri" w:eastAsia="Times New Roman" w:hAnsi="Calibri" w:cs="Times New Roman"/>
                <w:lang w:val="fr-FR"/>
              </w:rPr>
              <w:t>raisonnable.</w:t>
            </w:r>
            <w:r w:rsidRPr="00CC3B98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CC3B98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B72A5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CC3B98" w:rsidRDefault="004B3500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CC3B98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CC3B98" w:rsidRDefault="004B3500" w:rsidP="00C8247C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4B3500">
              <w:rPr>
                <w:rFonts w:ascii="Symbol" w:eastAsia="Times New Roman" w:hAnsi="Symbol" w:cs="Times New Roman"/>
              </w:rPr>
              <w:t></w:t>
            </w:r>
            <w:r w:rsidRPr="00CC3B98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="00370E19" w:rsidRPr="00CC3B98">
              <w:rPr>
                <w:rFonts w:ascii="Calibri" w:eastAsia="Times New Roman" w:hAnsi="Calibri" w:cs="Times New Roman"/>
                <w:lang w:val="fr-FR"/>
              </w:rPr>
              <w:t xml:space="preserve">Formulaires pour </w:t>
            </w:r>
            <w:r w:rsidR="00B72A58">
              <w:rPr>
                <w:rFonts w:ascii="Calibri" w:eastAsia="Times New Roman" w:hAnsi="Calibri" w:cs="Times New Roman"/>
                <w:lang w:val="fr-FR"/>
              </w:rPr>
              <w:t>définir les besoins</w:t>
            </w:r>
            <w:r w:rsidR="00370E19" w:rsidRPr="00CC3B98">
              <w:rPr>
                <w:rFonts w:ascii="Calibri" w:eastAsia="Times New Roman" w:hAnsi="Calibri" w:cs="Times New Roman"/>
                <w:lang w:val="fr-FR"/>
              </w:rPr>
              <w:t xml:space="preserve"> (article, quantités, etc.), le formulaire de cotation, etc. </w:t>
            </w:r>
            <w:r w:rsidR="00370E19" w:rsidRPr="00370E19">
              <w:rPr>
                <w:rFonts w:ascii="Calibri" w:eastAsia="Times New Roman" w:hAnsi="Calibri" w:cs="Times New Roman"/>
                <w:lang w:val="fr-FR"/>
              </w:rPr>
              <w:t xml:space="preserve">(pour faciliter le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travail</w:t>
            </w:r>
            <w:r w:rsidR="00C8247C" w:rsidRPr="00370E19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370E19" w:rsidRPr="00370E19">
              <w:rPr>
                <w:rFonts w:ascii="Calibri" w:eastAsia="Times New Roman" w:hAnsi="Calibri" w:cs="Times New Roman"/>
                <w:lang w:val="fr-FR"/>
              </w:rPr>
              <w:t>des d</w:t>
            </w:r>
            <w:r w:rsidR="00370E19">
              <w:rPr>
                <w:rFonts w:ascii="Calibri" w:eastAsia="Times New Roman" w:hAnsi="Calibri" w:cs="Times New Roman"/>
                <w:lang w:val="fr-FR"/>
              </w:rPr>
              <w:t>eux parties</w:t>
            </w:r>
            <w:r w:rsidRPr="00CC3B98">
              <w:rPr>
                <w:rFonts w:ascii="Calibri" w:eastAsia="Times New Roman" w:hAnsi="Calibri" w:cs="Times New Roman"/>
                <w:lang w:val="fr-FR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CC3B98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370E19" w:rsidRPr="00CC3B98" w:rsidTr="00C3731A"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19" w:rsidRPr="00CC3B98" w:rsidRDefault="00370E19" w:rsidP="0090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  <w:r w:rsidRPr="00CC3B98">
              <w:rPr>
                <w:rFonts w:ascii="Calibri" w:eastAsia="Times New Roman" w:hAnsi="Calibri" w:cs="Times New Roman"/>
                <w:lang w:val="fr-FR"/>
              </w:rPr>
              <w:t>3.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19" w:rsidRPr="00CC3B98" w:rsidRDefault="00C8247C" w:rsidP="004B3500">
            <w:pPr>
              <w:spacing w:after="0" w:line="240" w:lineRule="auto"/>
              <w:ind w:left="-20"/>
              <w:rPr>
                <w:rFonts w:ascii="Calibri" w:eastAsia="Times New Roman" w:hAnsi="Calibri" w:cs="Times New Roman"/>
                <w:lang w:val="fr-FR"/>
              </w:rPr>
            </w:pPr>
            <w:r w:rsidRPr="00C8247C">
              <w:rPr>
                <w:rFonts w:ascii="Calibri" w:eastAsia="Times New Roman" w:hAnsi="Calibri" w:cs="Times New Roman"/>
                <w:b/>
                <w:bCs/>
                <w:lang w:val="fr-FR"/>
              </w:rPr>
              <w:t>Spécifications</w:t>
            </w:r>
            <w:r w:rsidR="00370E19" w:rsidRPr="00CC3B98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Techniques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19" w:rsidRPr="00370E19" w:rsidRDefault="00370E19" w:rsidP="00C8247C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>Lien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s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à la liste recommandée par l’OMS,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aux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>spécifications techniques et normes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 de l’OMS fournis</w:t>
            </w:r>
            <w:r>
              <w:rPr>
                <w:rFonts w:ascii="Calibri" w:eastAsia="Times New Roman" w:hAnsi="Calibri" w:cs="Times New Roman"/>
                <w:lang w:val="fr-FR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0E19" w:rsidRPr="004B3500" w:rsidRDefault="00370E19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370E19" w:rsidRPr="00CC3B98" w:rsidTr="004B35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E19" w:rsidRPr="004B3500" w:rsidRDefault="00370E19" w:rsidP="00907F0A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E19" w:rsidRPr="004B3500" w:rsidRDefault="00370E19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 Une approche normalisée permet un examen rapide et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lastRenderedPageBreak/>
              <w:t>une décision d’attribution d</w:t>
            </w:r>
            <w:r>
              <w:rPr>
                <w:rFonts w:ascii="Calibri" w:eastAsia="Times New Roman" w:hAnsi="Calibri" w:cs="Times New Roman"/>
                <w:lang w:val="fr-FR"/>
              </w:rPr>
              <w:t>u marché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 rapide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lastRenderedPageBreak/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 Une approche normalisée permet un examen rapide 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et </w:t>
            </w:r>
            <w:r>
              <w:rPr>
                <w:rFonts w:ascii="Calibri" w:eastAsia="Times New Roman" w:hAnsi="Calibri" w:cs="Times New Roman"/>
                <w:lang w:val="fr-FR"/>
              </w:rPr>
              <w:lastRenderedPageBreak/>
              <w:t>une décision d’attribution du marché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 rapide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E19" w:rsidRPr="004B3500" w:rsidRDefault="00370E19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4B3500" w:rsidRPr="00CC3B98" w:rsidTr="004B350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90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3500">
              <w:rPr>
                <w:rFonts w:ascii="Calibri" w:eastAsia="Times New Roman" w:hAnsi="Calibri" w:cs="Times New Roman"/>
              </w:rPr>
              <w:lastRenderedPageBreak/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500" w:rsidRPr="004B3500" w:rsidRDefault="004B3500" w:rsidP="004B3500">
            <w:pPr>
              <w:spacing w:after="0" w:line="240" w:lineRule="auto"/>
              <w:ind w:left="-20"/>
              <w:rPr>
                <w:rFonts w:ascii="Calibri" w:eastAsia="Times New Roman" w:hAnsi="Calibri" w:cs="Times New Roman"/>
              </w:rPr>
            </w:pPr>
            <w:r w:rsidRPr="00CC3B98">
              <w:rPr>
                <w:rFonts w:ascii="Calibri" w:eastAsia="Times New Roman" w:hAnsi="Calibri" w:cs="Times New Roman"/>
                <w:b/>
                <w:bCs/>
                <w:lang w:val="fr-FR"/>
              </w:rPr>
              <w:t>Form</w:t>
            </w:r>
            <w:r w:rsidR="00370E19" w:rsidRPr="00CC3B98">
              <w:rPr>
                <w:rFonts w:ascii="Calibri" w:eastAsia="Times New Roman" w:hAnsi="Calibri" w:cs="Times New Roman"/>
                <w:b/>
                <w:bCs/>
                <w:lang w:val="fr-FR"/>
              </w:rPr>
              <w:t>ulaire</w:t>
            </w:r>
            <w:r w:rsidR="00370E19">
              <w:rPr>
                <w:rFonts w:ascii="Calibri" w:eastAsia="Times New Roman" w:hAnsi="Calibri" w:cs="Times New Roman"/>
                <w:b/>
                <w:bCs/>
              </w:rPr>
              <w:t xml:space="preserve"> du Marché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Un modèle de </w:t>
            </w:r>
            <w:r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unique, c’est-à-dire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pas de</w:t>
            </w:r>
            <w:r w:rsidR="00C8247C" w:rsidRPr="00370E19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>CC</w:t>
            </w:r>
            <w:r>
              <w:rPr>
                <w:rFonts w:ascii="Calibri" w:eastAsia="Times New Roman" w:hAnsi="Calibri" w:cs="Times New Roman"/>
                <w:lang w:val="fr-FR"/>
              </w:rPr>
              <w:t>AG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et C</w:t>
            </w:r>
            <w:r>
              <w:rPr>
                <w:rFonts w:ascii="Calibri" w:eastAsia="Times New Roman" w:hAnsi="Calibri" w:cs="Times New Roman"/>
                <w:lang w:val="fr-FR"/>
              </w:rPr>
              <w:t>CAP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 xml:space="preserve"> séparés</w:t>
            </w:r>
            <w:r>
              <w:rPr>
                <w:rFonts w:ascii="Calibri" w:eastAsia="Times New Roman" w:hAnsi="Calibri" w:cs="Times New Roman"/>
                <w:lang w:val="fr-FR"/>
              </w:rPr>
              <w:t>.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</w:p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D</w:t>
            </w:r>
            <w:r w:rsidR="00C8247C" w:rsidRPr="00370E19">
              <w:rPr>
                <w:rFonts w:ascii="Calibri" w:eastAsia="Times New Roman" w:hAnsi="Calibri" w:cs="Times New Roman"/>
                <w:lang w:val="fr-FR"/>
              </w:rPr>
              <w:t xml:space="preserve">es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options </w:t>
            </w:r>
            <w:r>
              <w:rPr>
                <w:rFonts w:ascii="Calibri" w:eastAsia="Times New Roman" w:hAnsi="Calibri" w:cs="Times New Roman"/>
                <w:lang w:val="fr-FR"/>
              </w:rPr>
              <w:t>offertes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si nécessaires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--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par </w:t>
            </w:r>
            <w:r w:rsidRPr="00370E19">
              <w:rPr>
                <w:rFonts w:ascii="Calibri" w:eastAsia="Times New Roman" w:hAnsi="Calibri" w:cs="Times New Roman"/>
                <w:u w:val="single"/>
                <w:lang w:val="fr-FR"/>
              </w:rPr>
              <w:t>exemple, les modalités de paiement sont négociables pour s’adapter à l’objectif.</w:t>
            </w:r>
          </w:p>
          <w:p w:rsidR="00370E19" w:rsidRPr="00370E19" w:rsidRDefault="00370E19" w:rsidP="00907F0A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Afin de minimiser les perceptions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de risque par l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es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>ournisseurs en l’absence de L/C (ce qui ne semble pas être une option faisable ici), l</w:t>
            </w:r>
            <w:r>
              <w:rPr>
                <w:rFonts w:ascii="Calibri" w:eastAsia="Times New Roman" w:hAnsi="Calibri" w:cs="Times New Roman"/>
                <w:lang w:val="fr-FR"/>
              </w:rPr>
              <w:t>’avance de démarrage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peut atteindre 40 % pour l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e fournitures en provenance de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l’étranger (10 % sans </w:t>
            </w:r>
            <w:r w:rsidR="00C8247C">
              <w:rPr>
                <w:rFonts w:ascii="Calibri" w:eastAsia="Times New Roman" w:hAnsi="Calibri" w:cs="Times New Roman"/>
                <w:lang w:val="fr-FR"/>
              </w:rPr>
              <w:t>g</w:t>
            </w:r>
            <w:r w:rsidR="00C8247C" w:rsidRPr="00370E19">
              <w:rPr>
                <w:rFonts w:ascii="Calibri" w:eastAsia="Times New Roman" w:hAnsi="Calibri" w:cs="Times New Roman"/>
                <w:lang w:val="fr-FR"/>
              </w:rPr>
              <w:t xml:space="preserve">arantie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et 30 % avec garantie) - </w:t>
            </w:r>
            <w:r w:rsidRPr="00370E19">
              <w:rPr>
                <w:rFonts w:ascii="Calibri" w:eastAsia="Times New Roman" w:hAnsi="Calibri" w:cs="Times New Roman"/>
                <w:u w:val="single"/>
                <w:lang w:val="fr-FR"/>
              </w:rPr>
              <w:t>c’est négociable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="00907F0A" w:rsidRPr="00907F0A">
              <w:rPr>
                <w:rFonts w:ascii="Times New Roman" w:eastAsia="Times New Roman" w:hAnsi="Times New Roman" w:cs="Times New Roman"/>
                <w:u w:val="single"/>
                <w:lang w:val="fr-FR"/>
              </w:rPr>
              <w:t xml:space="preserve">Garantie de bonne exécution </w:t>
            </w:r>
            <w:r w:rsidR="00907F0A">
              <w:rPr>
                <w:rFonts w:ascii="Times New Roman" w:eastAsia="Times New Roman" w:hAnsi="Times New Roman" w:cs="Times New Roman"/>
                <w:u w:val="single"/>
                <w:lang w:val="fr-FR"/>
              </w:rPr>
              <w:t xml:space="preserve">– comme </w:t>
            </w:r>
            <w:r w:rsidRPr="00370E19">
              <w:rPr>
                <w:rFonts w:ascii="Calibri" w:eastAsia="Times New Roman" w:hAnsi="Calibri" w:cs="Times New Roman"/>
                <w:u w:val="single"/>
                <w:lang w:val="fr-FR"/>
              </w:rPr>
              <w:t>clairement soulignée</w:t>
            </w:r>
            <w:r w:rsidR="00907F0A">
              <w:rPr>
                <w:rFonts w:ascii="Calibri" w:eastAsia="Times New Roman" w:hAnsi="Calibri" w:cs="Times New Roman"/>
                <w:u w:val="single"/>
                <w:lang w:val="fr-FR"/>
              </w:rPr>
              <w:t xml:space="preserve"> -- </w:t>
            </w:r>
            <w:r w:rsidRPr="00370E19">
              <w:rPr>
                <w:rFonts w:ascii="Calibri" w:eastAsia="Times New Roman" w:hAnsi="Calibri" w:cs="Times New Roman"/>
                <w:u w:val="single"/>
                <w:lang w:val="fr-FR"/>
              </w:rPr>
              <w:t>normalement pas nécessaire,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c’est-à-dire seulement dans des c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irconstances exceptionnelles.</w:t>
            </w:r>
          </w:p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Disposition de paiement de bonus incluse pour encourager les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F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>ournisseurs à accélérer la livraison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M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ode de transport international de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fournitures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: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 xml:space="preserve">par avion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>dans la mesure du possible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:rsidR="00370E19" w:rsidRPr="00370E19" w:rsidRDefault="00370E19" w:rsidP="00370E19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Attribution du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: </w:t>
            </w:r>
            <w:r w:rsidRPr="00370E19">
              <w:rPr>
                <w:rFonts w:ascii="Calibri" w:eastAsia="Times New Roman" w:hAnsi="Calibri" w:cs="Times New Roman"/>
                <w:u w:val="single"/>
                <w:lang w:val="fr-FR"/>
              </w:rPr>
              <w:t>électronique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. Utilisation de la signature électronique telle que </w:t>
            </w:r>
            <w:proofErr w:type="spellStart"/>
            <w:r w:rsidRPr="00370E19">
              <w:rPr>
                <w:rFonts w:ascii="Calibri" w:eastAsia="Times New Roman" w:hAnsi="Calibri" w:cs="Times New Roman"/>
                <w:lang w:val="fr-FR"/>
              </w:rPr>
              <w:t>DocuSign</w:t>
            </w:r>
            <w:proofErr w:type="spellEnd"/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dans la mesure du possible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:rsidR="004B3500" w:rsidRPr="004B3500" w:rsidRDefault="00370E19" w:rsidP="00907F0A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370E19">
              <w:rPr>
                <w:rFonts w:ascii="Symbol" w:eastAsia="Times New Roman" w:hAnsi="Symbol" w:cs="Times New Roman"/>
              </w:rPr>
              <w:t></w:t>
            </w:r>
            <w:r w:rsidRPr="00370E19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="00907F0A" w:rsidRPr="00907F0A">
              <w:rPr>
                <w:rFonts w:ascii="Times New Roman" w:eastAsia="Times New Roman" w:hAnsi="Times New Roman" w:cs="Times New Roman"/>
                <w:lang w:val="fr-FR"/>
              </w:rPr>
              <w:t>Notification du marché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: électronique; toutes les réunions liées au </w:t>
            </w:r>
            <w:r w:rsidR="00907F0A"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370E19">
              <w:rPr>
                <w:rFonts w:ascii="Calibri" w:eastAsia="Times New Roman" w:hAnsi="Calibri" w:cs="Times New Roman"/>
                <w:lang w:val="fr-FR"/>
              </w:rPr>
              <w:t xml:space="preserve"> (pourraient être virtuelles)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00" w:rsidRPr="004B3500" w:rsidRDefault="004B3500" w:rsidP="004B3500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</w:p>
        </w:tc>
      </w:tr>
    </w:tbl>
    <w:p w:rsidR="004B3500" w:rsidRPr="004B3500" w:rsidRDefault="004B3500" w:rsidP="004B3500">
      <w:pPr>
        <w:spacing w:after="160" w:line="256" w:lineRule="auto"/>
        <w:rPr>
          <w:rFonts w:ascii="Calibri" w:eastAsia="Times New Roman" w:hAnsi="Calibri" w:cs="Times New Roman"/>
          <w:lang w:val="fr-FR"/>
        </w:rPr>
      </w:pPr>
      <w:r w:rsidRPr="004B3500">
        <w:rPr>
          <w:rFonts w:ascii="Calibri" w:eastAsia="Times New Roman" w:hAnsi="Calibri" w:cs="Times New Roman"/>
          <w:lang w:val="fr-FR"/>
        </w:rPr>
        <w:t> </w:t>
      </w:r>
    </w:p>
    <w:p w:rsidR="00370E19" w:rsidRPr="00370E19" w:rsidRDefault="00370E19" w:rsidP="00370E19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 wp14:anchorId="44596250" wp14:editId="341D7D1E">
            <wp:extent cx="518160" cy="182880"/>
            <wp:effectExtent l="0" t="0" r="0" b="7620"/>
            <wp:docPr id="2" name="Picture 2" descr="https://ssl.microsofttranslator.com/static/26105338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sl.microsofttranslator.com/static/26105338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6A55AA82" wp14:editId="737B296C">
            <wp:extent cx="76200" cy="76200"/>
            <wp:effectExtent l="0" t="0" r="0" b="0"/>
            <wp:docPr id="1" name="Picture 1" descr="https://ssl.microsofttranslator.com/static/26105338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sl.microsofttranslator.com/static/26105338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19" w:rsidRPr="00370E19" w:rsidRDefault="00370E19" w:rsidP="00370E19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370E19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370E19" w:rsidRPr="00370E19" w:rsidRDefault="00370E19" w:rsidP="00370E19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370E19">
        <w:rPr>
          <w:rFonts w:ascii="Arial" w:eastAsia="Times New Roman" w:hAnsi="Arial" w:cs="Arial"/>
          <w:vanish/>
          <w:color w:val="000000"/>
          <w:sz w:val="18"/>
          <w:szCs w:val="18"/>
        </w:rPr>
        <w:t>3.</w:t>
      </w:r>
    </w:p>
    <w:p w:rsidR="007905B6" w:rsidRPr="00370E19" w:rsidRDefault="007905B6">
      <w:pPr>
        <w:rPr>
          <w:lang w:val="fr-FR"/>
        </w:rPr>
      </w:pPr>
    </w:p>
    <w:sectPr w:rsidR="007905B6" w:rsidRPr="00370E19" w:rsidSect="004B3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81F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0"/>
    <w:rsid w:val="002D774F"/>
    <w:rsid w:val="00370E19"/>
    <w:rsid w:val="004B3500"/>
    <w:rsid w:val="00520C71"/>
    <w:rsid w:val="005A6292"/>
    <w:rsid w:val="006E62B4"/>
    <w:rsid w:val="007754EF"/>
    <w:rsid w:val="007905B6"/>
    <w:rsid w:val="00907F0A"/>
    <w:rsid w:val="00B72A58"/>
    <w:rsid w:val="00B958A1"/>
    <w:rsid w:val="00C8247C"/>
    <w:rsid w:val="00CC3B98"/>
    <w:rsid w:val="00EE76FD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D774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B35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50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B3500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D774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B35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50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B3500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29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3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translat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Abeille</dc:creator>
  <cp:lastModifiedBy>Bernard Abeille</cp:lastModifiedBy>
  <cp:revision>2</cp:revision>
  <dcterms:created xsi:type="dcterms:W3CDTF">2020-04-10T13:24:00Z</dcterms:created>
  <dcterms:modified xsi:type="dcterms:W3CDTF">2020-04-10T13:24:00Z</dcterms:modified>
</cp:coreProperties>
</file>