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52AF7" w14:textId="210EF5AC" w:rsidR="00BA2765" w:rsidRPr="00750120" w:rsidRDefault="00BA2765" w:rsidP="00340688">
      <w:pPr>
        <w:pStyle w:val="Header"/>
        <w:spacing w:before="120" w:after="120"/>
        <w:jc w:val="center"/>
        <w:rPr>
          <w:b/>
          <w:sz w:val="32"/>
          <w:szCs w:val="32"/>
          <w:lang w:val="es-ES"/>
        </w:rPr>
      </w:pPr>
      <w:r w:rsidRPr="00750120">
        <w:rPr>
          <w:b/>
          <w:sz w:val="32"/>
          <w:szCs w:val="32"/>
          <w:lang w:val="es-ES"/>
        </w:rPr>
        <w:t>RESPUESTA A LA EMERGENCIA DEL COVID 19</w:t>
      </w:r>
    </w:p>
    <w:p w14:paraId="7B3C4474" w14:textId="185F9EAA" w:rsidR="00BA2765" w:rsidRPr="00750120" w:rsidRDefault="00BA2765" w:rsidP="00340688">
      <w:pPr>
        <w:pStyle w:val="Header"/>
        <w:spacing w:before="120" w:after="120"/>
        <w:jc w:val="center"/>
        <w:rPr>
          <w:b/>
          <w:sz w:val="32"/>
          <w:szCs w:val="32"/>
          <w:lang w:val="es-ES"/>
        </w:rPr>
      </w:pPr>
      <w:r w:rsidRPr="00750120">
        <w:rPr>
          <w:b/>
          <w:sz w:val="32"/>
          <w:szCs w:val="32"/>
          <w:lang w:val="es-ES"/>
        </w:rPr>
        <w:t>RESUMEN DE LOS ASPECTOS PRINCIPALES</w:t>
      </w:r>
    </w:p>
    <w:p w14:paraId="42A57094" w14:textId="4A17DE3F" w:rsidR="00BA2765" w:rsidRPr="00750120" w:rsidRDefault="00BA2765" w:rsidP="00340688">
      <w:pPr>
        <w:pStyle w:val="Header"/>
        <w:spacing w:before="120" w:after="120"/>
        <w:jc w:val="center"/>
        <w:rPr>
          <w:b/>
          <w:sz w:val="32"/>
          <w:szCs w:val="32"/>
          <w:lang w:val="es-ES"/>
        </w:rPr>
      </w:pPr>
      <w:r w:rsidRPr="00750120">
        <w:rPr>
          <w:b/>
          <w:sz w:val="32"/>
          <w:szCs w:val="32"/>
          <w:lang w:val="es-ES"/>
        </w:rPr>
        <w:t>BIENES - DOCUMENTOS PARA SOLICITUD DE COTIZACIONES  Y CONTRATACIONES DIRECTAS</w:t>
      </w:r>
    </w:p>
    <w:p w14:paraId="593E418B" w14:textId="17A179CB" w:rsidR="00BA2765" w:rsidRPr="00750120" w:rsidRDefault="00BA2765" w:rsidP="00340688">
      <w:pPr>
        <w:pStyle w:val="Header"/>
        <w:spacing w:before="120" w:after="120"/>
        <w:jc w:val="center"/>
        <w:rPr>
          <w:b/>
          <w:sz w:val="32"/>
          <w:szCs w:val="32"/>
          <w:lang w:val="es-ES"/>
        </w:rPr>
      </w:pPr>
      <w:r w:rsidRPr="00750120">
        <w:rPr>
          <w:b/>
          <w:sz w:val="32"/>
          <w:szCs w:val="32"/>
          <w:lang w:val="es-ES"/>
        </w:rPr>
        <w:t>MARZO 2020</w:t>
      </w:r>
    </w:p>
    <w:tbl>
      <w:tblPr>
        <w:tblStyle w:val="TableGrid"/>
        <w:tblW w:w="0" w:type="auto"/>
        <w:tblLook w:val="04A0" w:firstRow="1" w:lastRow="0" w:firstColumn="1" w:lastColumn="0" w:noHBand="0" w:noVBand="1"/>
      </w:tblPr>
      <w:tblGrid>
        <w:gridCol w:w="715"/>
        <w:gridCol w:w="2790"/>
        <w:gridCol w:w="3283"/>
        <w:gridCol w:w="3283"/>
        <w:gridCol w:w="2879"/>
      </w:tblGrid>
      <w:tr w:rsidR="00CC7D10" w:rsidRPr="00750120" w14:paraId="55A5C6B6" w14:textId="77777777" w:rsidTr="00A14329">
        <w:trPr>
          <w:tblHeader/>
        </w:trPr>
        <w:tc>
          <w:tcPr>
            <w:tcW w:w="715" w:type="dxa"/>
            <w:vMerge w:val="restart"/>
            <w:shd w:val="clear" w:color="auto" w:fill="2F5496" w:themeFill="accent1" w:themeFillShade="BF"/>
          </w:tcPr>
          <w:p w14:paraId="030D02B5" w14:textId="77777777" w:rsidR="00CC7D10" w:rsidRPr="00750120" w:rsidRDefault="00CC7D10" w:rsidP="00CC7D10">
            <w:pPr>
              <w:jc w:val="center"/>
              <w:rPr>
                <w:b/>
                <w:color w:val="FFFFFF" w:themeColor="background1"/>
                <w:lang w:val="es-ES"/>
              </w:rPr>
            </w:pPr>
            <w:r w:rsidRPr="00750120">
              <w:rPr>
                <w:b/>
                <w:color w:val="FFFFFF" w:themeColor="background1"/>
                <w:lang w:val="es-ES"/>
              </w:rPr>
              <w:t>No.</w:t>
            </w:r>
          </w:p>
        </w:tc>
        <w:tc>
          <w:tcPr>
            <w:tcW w:w="2790" w:type="dxa"/>
            <w:vMerge w:val="restart"/>
            <w:shd w:val="clear" w:color="auto" w:fill="2F5496" w:themeFill="accent1" w:themeFillShade="BF"/>
          </w:tcPr>
          <w:p w14:paraId="252D7EB2" w14:textId="02EA6423" w:rsidR="00CC7D10" w:rsidRPr="00750120" w:rsidRDefault="00D43619" w:rsidP="00CC7D10">
            <w:pPr>
              <w:jc w:val="center"/>
              <w:rPr>
                <w:b/>
                <w:color w:val="FFFFFF" w:themeColor="background1"/>
                <w:lang w:val="es-ES"/>
              </w:rPr>
            </w:pPr>
            <w:r w:rsidRPr="00750120">
              <w:rPr>
                <w:b/>
                <w:color w:val="FFFFFF" w:themeColor="background1"/>
                <w:lang w:val="es-ES"/>
              </w:rPr>
              <w:t>Asunto</w:t>
            </w:r>
          </w:p>
        </w:tc>
        <w:tc>
          <w:tcPr>
            <w:tcW w:w="6566" w:type="dxa"/>
            <w:gridSpan w:val="2"/>
            <w:shd w:val="clear" w:color="auto" w:fill="2F5496" w:themeFill="accent1" w:themeFillShade="BF"/>
          </w:tcPr>
          <w:p w14:paraId="49634D02" w14:textId="77777777" w:rsidR="0053519C" w:rsidRPr="00750120" w:rsidRDefault="0053519C" w:rsidP="00CC7D10">
            <w:pPr>
              <w:jc w:val="center"/>
              <w:rPr>
                <w:b/>
                <w:color w:val="FFFFFF" w:themeColor="background1"/>
                <w:lang w:val="es-ES"/>
              </w:rPr>
            </w:pPr>
            <w:r w:rsidRPr="00750120">
              <w:rPr>
                <w:b/>
                <w:color w:val="FFFFFF" w:themeColor="background1"/>
                <w:lang w:val="es-ES"/>
              </w:rPr>
              <w:t xml:space="preserve">Descripción de los aspectos clave </w:t>
            </w:r>
          </w:p>
          <w:p w14:paraId="5D623B32" w14:textId="71E8BA66" w:rsidR="00CC7D10" w:rsidRPr="00750120" w:rsidRDefault="00CC7D10" w:rsidP="00CC7D10">
            <w:pPr>
              <w:jc w:val="center"/>
              <w:rPr>
                <w:b/>
                <w:color w:val="FFFFFF" w:themeColor="background1"/>
                <w:lang w:val="es-ES"/>
              </w:rPr>
            </w:pPr>
          </w:p>
        </w:tc>
        <w:tc>
          <w:tcPr>
            <w:tcW w:w="2879" w:type="dxa"/>
            <w:vMerge w:val="restart"/>
            <w:shd w:val="clear" w:color="auto" w:fill="2F5496" w:themeFill="accent1" w:themeFillShade="BF"/>
          </w:tcPr>
          <w:p w14:paraId="55EE379D" w14:textId="77777777" w:rsidR="0053519C" w:rsidRPr="00750120" w:rsidRDefault="0053519C" w:rsidP="00CC7D10">
            <w:pPr>
              <w:jc w:val="center"/>
              <w:rPr>
                <w:b/>
                <w:color w:val="FFFFFF" w:themeColor="background1"/>
                <w:lang w:val="es-ES"/>
              </w:rPr>
            </w:pPr>
            <w:r w:rsidRPr="00750120">
              <w:rPr>
                <w:b/>
                <w:color w:val="FFFFFF" w:themeColor="background1"/>
                <w:lang w:val="es-ES"/>
              </w:rPr>
              <w:t xml:space="preserve">Riesgos y mitigación </w:t>
            </w:r>
          </w:p>
          <w:p w14:paraId="1C85D76A" w14:textId="0843C8AE" w:rsidR="00CC7D10" w:rsidRPr="00750120" w:rsidRDefault="00CC7D10" w:rsidP="00CC7D10">
            <w:pPr>
              <w:jc w:val="center"/>
              <w:rPr>
                <w:b/>
                <w:color w:val="FFFFFF" w:themeColor="background1"/>
                <w:lang w:val="es-ES"/>
              </w:rPr>
            </w:pPr>
          </w:p>
        </w:tc>
      </w:tr>
      <w:tr w:rsidR="00CC7D10" w:rsidRPr="00750120" w14:paraId="593BBDA5" w14:textId="77777777" w:rsidTr="00A14329">
        <w:trPr>
          <w:tblHeader/>
        </w:trPr>
        <w:tc>
          <w:tcPr>
            <w:tcW w:w="715" w:type="dxa"/>
            <w:vMerge/>
          </w:tcPr>
          <w:p w14:paraId="53C51FB7" w14:textId="77777777" w:rsidR="00CC7D10" w:rsidRPr="00750120" w:rsidRDefault="00CC7D10">
            <w:pPr>
              <w:rPr>
                <w:lang w:val="es-ES"/>
              </w:rPr>
            </w:pPr>
          </w:p>
        </w:tc>
        <w:tc>
          <w:tcPr>
            <w:tcW w:w="2790" w:type="dxa"/>
            <w:vMerge/>
          </w:tcPr>
          <w:p w14:paraId="4C5E8306" w14:textId="77777777" w:rsidR="00CC7D10" w:rsidRPr="00750120" w:rsidRDefault="00CC7D10">
            <w:pPr>
              <w:rPr>
                <w:lang w:val="es-ES"/>
              </w:rPr>
            </w:pPr>
          </w:p>
        </w:tc>
        <w:tc>
          <w:tcPr>
            <w:tcW w:w="3283" w:type="dxa"/>
            <w:shd w:val="clear" w:color="auto" w:fill="2F5496" w:themeFill="accent1" w:themeFillShade="BF"/>
          </w:tcPr>
          <w:p w14:paraId="362A0675" w14:textId="29D8410D" w:rsidR="0053519C" w:rsidRPr="00750120" w:rsidRDefault="0053519C" w:rsidP="00CC7D10">
            <w:pPr>
              <w:jc w:val="center"/>
              <w:rPr>
                <w:b/>
                <w:color w:val="FFFFFF" w:themeColor="background1"/>
                <w:lang w:val="es-ES"/>
              </w:rPr>
            </w:pPr>
            <w:r w:rsidRPr="00750120">
              <w:rPr>
                <w:b/>
                <w:color w:val="FFFFFF" w:themeColor="background1"/>
                <w:lang w:val="es-ES"/>
              </w:rPr>
              <w:t xml:space="preserve">Solicitud de Cotizaciones </w:t>
            </w:r>
            <w:r w:rsidR="006C3036" w:rsidRPr="00750120">
              <w:rPr>
                <w:b/>
                <w:color w:val="FFFFFF" w:themeColor="background1"/>
                <w:lang w:val="es-ES"/>
              </w:rPr>
              <w:t>(SdC)</w:t>
            </w:r>
          </w:p>
          <w:p w14:paraId="60D56B53" w14:textId="7805B8AD" w:rsidR="00CC7D10" w:rsidRPr="00750120" w:rsidRDefault="00CC7D10" w:rsidP="00CC7D10">
            <w:pPr>
              <w:jc w:val="center"/>
              <w:rPr>
                <w:b/>
                <w:color w:val="FFFFFF" w:themeColor="background1"/>
                <w:lang w:val="es-ES"/>
              </w:rPr>
            </w:pPr>
          </w:p>
        </w:tc>
        <w:tc>
          <w:tcPr>
            <w:tcW w:w="3283" w:type="dxa"/>
            <w:shd w:val="clear" w:color="auto" w:fill="2F5496" w:themeFill="accent1" w:themeFillShade="BF"/>
          </w:tcPr>
          <w:p w14:paraId="0D6EC19F" w14:textId="77777777" w:rsidR="0053519C" w:rsidRPr="00750120" w:rsidRDefault="0053519C" w:rsidP="00CC7D10">
            <w:pPr>
              <w:jc w:val="center"/>
              <w:rPr>
                <w:b/>
                <w:color w:val="FFFFFF" w:themeColor="background1"/>
                <w:lang w:val="es-ES"/>
              </w:rPr>
            </w:pPr>
            <w:r w:rsidRPr="00750120">
              <w:rPr>
                <w:b/>
                <w:color w:val="FFFFFF" w:themeColor="background1"/>
                <w:lang w:val="es-ES"/>
              </w:rPr>
              <w:t>Contratación Directa</w:t>
            </w:r>
          </w:p>
          <w:p w14:paraId="76832970" w14:textId="2B7664CC" w:rsidR="00CC7D10" w:rsidRPr="00750120" w:rsidRDefault="00CC7D10" w:rsidP="00CC7D10">
            <w:pPr>
              <w:jc w:val="center"/>
              <w:rPr>
                <w:b/>
                <w:color w:val="FFFFFF" w:themeColor="background1"/>
                <w:lang w:val="es-ES"/>
              </w:rPr>
            </w:pPr>
          </w:p>
        </w:tc>
        <w:tc>
          <w:tcPr>
            <w:tcW w:w="2879" w:type="dxa"/>
            <w:vMerge/>
          </w:tcPr>
          <w:p w14:paraId="20D9A92C" w14:textId="77777777" w:rsidR="00CC7D10" w:rsidRPr="00750120" w:rsidRDefault="00CC7D10">
            <w:pPr>
              <w:rPr>
                <w:lang w:val="es-ES"/>
              </w:rPr>
            </w:pPr>
          </w:p>
        </w:tc>
      </w:tr>
      <w:tr w:rsidR="004017B2" w:rsidRPr="00750120" w14:paraId="1640F0DA" w14:textId="77777777" w:rsidTr="00D43619">
        <w:trPr>
          <w:trHeight w:val="743"/>
        </w:trPr>
        <w:tc>
          <w:tcPr>
            <w:tcW w:w="715" w:type="dxa"/>
            <w:vMerge w:val="restart"/>
          </w:tcPr>
          <w:p w14:paraId="63E759C7" w14:textId="77777777" w:rsidR="004017B2" w:rsidRPr="00750120" w:rsidRDefault="004017B2">
            <w:pPr>
              <w:rPr>
                <w:lang w:val="es-ES"/>
              </w:rPr>
            </w:pPr>
            <w:r w:rsidRPr="00750120">
              <w:rPr>
                <w:lang w:val="es-ES"/>
              </w:rPr>
              <w:t>1.</w:t>
            </w:r>
          </w:p>
        </w:tc>
        <w:tc>
          <w:tcPr>
            <w:tcW w:w="2790" w:type="dxa"/>
            <w:vMerge w:val="restart"/>
          </w:tcPr>
          <w:p w14:paraId="3D6C0448" w14:textId="24E6F89A" w:rsidR="004017B2" w:rsidRPr="00750120" w:rsidRDefault="00BA2765">
            <w:pPr>
              <w:rPr>
                <w:b/>
                <w:bCs/>
                <w:lang w:val="es-ES"/>
              </w:rPr>
            </w:pPr>
            <w:r w:rsidRPr="00750120">
              <w:rPr>
                <w:b/>
                <w:bCs/>
                <w:lang w:val="es-ES"/>
              </w:rPr>
              <w:t>Objeto</w:t>
            </w:r>
          </w:p>
        </w:tc>
        <w:tc>
          <w:tcPr>
            <w:tcW w:w="6566" w:type="dxa"/>
            <w:gridSpan w:val="2"/>
          </w:tcPr>
          <w:p w14:paraId="73ED0197" w14:textId="4BCC586E" w:rsidR="004017B2" w:rsidRPr="00750120" w:rsidRDefault="0053519C" w:rsidP="00A14329">
            <w:pPr>
              <w:pStyle w:val="ListParagraph"/>
              <w:numPr>
                <w:ilvl w:val="0"/>
                <w:numId w:val="5"/>
              </w:numPr>
              <w:ind w:left="256" w:hanging="270"/>
              <w:rPr>
                <w:lang w:val="es-ES"/>
              </w:rPr>
            </w:pPr>
            <w:r w:rsidRPr="00750120">
              <w:rPr>
                <w:lang w:val="es-ES"/>
              </w:rPr>
              <w:t>Ítems requeridos en las operaciones de respuesta a la emergencia</w:t>
            </w:r>
            <w:r w:rsidR="004017B2" w:rsidRPr="00750120">
              <w:rPr>
                <w:lang w:val="es-ES"/>
              </w:rPr>
              <w:t xml:space="preserve"> </w:t>
            </w:r>
          </w:p>
        </w:tc>
        <w:tc>
          <w:tcPr>
            <w:tcW w:w="2879" w:type="dxa"/>
            <w:vMerge w:val="restart"/>
          </w:tcPr>
          <w:p w14:paraId="6662E9FA" w14:textId="58FC1808" w:rsidR="004017B2" w:rsidRPr="00750120" w:rsidRDefault="0053519C" w:rsidP="00A14329">
            <w:pPr>
              <w:spacing w:before="40" w:after="40"/>
              <w:ind w:left="-14"/>
              <w:rPr>
                <w:bCs/>
                <w:lang w:val="es-ES"/>
              </w:rPr>
            </w:pPr>
            <w:r w:rsidRPr="00750120">
              <w:rPr>
                <w:b/>
                <w:lang w:val="es-ES"/>
              </w:rPr>
              <w:t xml:space="preserve">Riesgo: </w:t>
            </w:r>
            <w:r w:rsidRPr="00750120">
              <w:rPr>
                <w:bCs/>
                <w:lang w:val="es-ES"/>
              </w:rPr>
              <w:t xml:space="preserve">Impacto de métodos competitivos menos rigurosos </w:t>
            </w:r>
          </w:p>
          <w:p w14:paraId="7BB6F9DA" w14:textId="77777777" w:rsidR="00A14329" w:rsidRPr="00750120" w:rsidRDefault="00A14329" w:rsidP="00A14329">
            <w:pPr>
              <w:spacing w:before="40" w:after="40"/>
              <w:ind w:left="-14"/>
              <w:rPr>
                <w:lang w:val="es-ES"/>
              </w:rPr>
            </w:pPr>
          </w:p>
          <w:p w14:paraId="359C1ED3" w14:textId="559CEA26" w:rsidR="004017B2" w:rsidRPr="00750120" w:rsidRDefault="0053519C" w:rsidP="004017B2">
            <w:pPr>
              <w:spacing w:before="40" w:after="40"/>
              <w:rPr>
                <w:bCs/>
                <w:lang w:val="es-ES"/>
              </w:rPr>
            </w:pPr>
            <w:r w:rsidRPr="00750120">
              <w:rPr>
                <w:b/>
                <w:lang w:val="es-ES"/>
              </w:rPr>
              <w:t xml:space="preserve">Mitigación: </w:t>
            </w:r>
            <w:r w:rsidRPr="00750120">
              <w:rPr>
                <w:bCs/>
                <w:lang w:val="es-ES"/>
              </w:rPr>
              <w:t xml:space="preserve">estipulaciones mejoradas al compararlas con solicitud de cotizaciones tradicionales tales como: </w:t>
            </w:r>
          </w:p>
          <w:p w14:paraId="41575D98" w14:textId="432A3220" w:rsidR="004017B2" w:rsidRPr="00750120" w:rsidRDefault="007E7549" w:rsidP="004017B2">
            <w:pPr>
              <w:pStyle w:val="ListParagraph"/>
              <w:numPr>
                <w:ilvl w:val="0"/>
                <w:numId w:val="4"/>
              </w:numPr>
              <w:spacing w:before="40" w:after="40"/>
              <w:ind w:left="259" w:hanging="216"/>
              <w:contextualSpacing w:val="0"/>
              <w:rPr>
                <w:lang w:val="es-ES"/>
              </w:rPr>
            </w:pPr>
            <w:r w:rsidRPr="00750120">
              <w:rPr>
                <w:lang w:val="es-ES"/>
              </w:rPr>
              <w:t xml:space="preserve">riesgo de incluir proveedores / </w:t>
            </w:r>
            <w:r w:rsidR="00D43619" w:rsidRPr="00750120">
              <w:rPr>
                <w:lang w:val="es-ES"/>
              </w:rPr>
              <w:t>fabricantes</w:t>
            </w:r>
            <w:r w:rsidRPr="00750120">
              <w:rPr>
                <w:lang w:val="es-ES"/>
              </w:rPr>
              <w:t xml:space="preserve"> no calificados se espera que se gestione antes de </w:t>
            </w:r>
            <w:r w:rsidR="00D43619" w:rsidRPr="00750120">
              <w:rPr>
                <w:lang w:val="es-ES"/>
              </w:rPr>
              <w:t>solicitar</w:t>
            </w:r>
            <w:r w:rsidRPr="00750120">
              <w:rPr>
                <w:lang w:val="es-ES"/>
              </w:rPr>
              <w:t xml:space="preserve"> las cotizaciones, por ej. cuando se establece la lista de firmas que </w:t>
            </w:r>
            <w:r w:rsidR="00750120">
              <w:rPr>
                <w:lang w:val="es-ES"/>
              </w:rPr>
              <w:t>serán</w:t>
            </w:r>
            <w:r w:rsidRPr="00750120">
              <w:rPr>
                <w:lang w:val="es-ES"/>
              </w:rPr>
              <w:t xml:space="preserve"> invitadas a cotizar;</w:t>
            </w:r>
          </w:p>
          <w:p w14:paraId="4FAE5AFF" w14:textId="3E1410CB" w:rsidR="00A14329" w:rsidRPr="00750120" w:rsidRDefault="00750120" w:rsidP="004017B2">
            <w:pPr>
              <w:pStyle w:val="ListParagraph"/>
              <w:numPr>
                <w:ilvl w:val="0"/>
                <w:numId w:val="4"/>
              </w:numPr>
              <w:spacing w:before="40" w:after="40"/>
              <w:ind w:left="259" w:hanging="216"/>
              <w:contextualSpacing w:val="0"/>
              <w:rPr>
                <w:lang w:val="es-ES"/>
              </w:rPr>
            </w:pPr>
            <w:r>
              <w:rPr>
                <w:lang w:val="es-ES"/>
              </w:rPr>
              <w:t>c</w:t>
            </w:r>
            <w:r w:rsidR="007E7549" w:rsidRPr="00750120">
              <w:rPr>
                <w:lang w:val="es-ES"/>
              </w:rPr>
              <w:t xml:space="preserve">ontrol de calidad: referencia a las </w:t>
            </w:r>
            <w:r w:rsidR="007E7549" w:rsidRPr="00750120">
              <w:rPr>
                <w:lang w:val="es-ES"/>
              </w:rPr>
              <w:lastRenderedPageBreak/>
              <w:t>especificaciones y a las normas de la OMS;</w:t>
            </w:r>
          </w:p>
          <w:p w14:paraId="5E6FEA4C" w14:textId="5C752DF0" w:rsidR="007E7549" w:rsidRPr="00750120" w:rsidRDefault="007E7549" w:rsidP="004017B2">
            <w:pPr>
              <w:pStyle w:val="ListParagraph"/>
              <w:numPr>
                <w:ilvl w:val="0"/>
                <w:numId w:val="4"/>
              </w:numPr>
              <w:spacing w:before="40" w:after="40"/>
              <w:ind w:left="259" w:hanging="216"/>
              <w:contextualSpacing w:val="0"/>
              <w:rPr>
                <w:lang w:val="es-ES"/>
              </w:rPr>
            </w:pPr>
            <w:r w:rsidRPr="00750120">
              <w:rPr>
                <w:lang w:val="es-ES"/>
              </w:rPr>
              <w:t>certificado del fabricante requerido par</w:t>
            </w:r>
            <w:r w:rsidR="00750120">
              <w:rPr>
                <w:lang w:val="es-ES"/>
              </w:rPr>
              <w:t>a</w:t>
            </w:r>
            <w:r w:rsidRPr="00750120">
              <w:rPr>
                <w:lang w:val="es-ES"/>
              </w:rPr>
              <w:t xml:space="preserve"> quienes no sean fabricantes; </w:t>
            </w:r>
          </w:p>
          <w:p w14:paraId="00FAC1A2" w14:textId="22D83BA7" w:rsidR="004017B2" w:rsidRPr="00750120" w:rsidRDefault="007E7549" w:rsidP="004017B2">
            <w:pPr>
              <w:pStyle w:val="ListParagraph"/>
              <w:numPr>
                <w:ilvl w:val="0"/>
                <w:numId w:val="4"/>
              </w:numPr>
              <w:spacing w:before="40" w:after="40"/>
              <w:ind w:left="259" w:hanging="216"/>
              <w:contextualSpacing w:val="0"/>
              <w:rPr>
                <w:lang w:val="es-ES"/>
              </w:rPr>
            </w:pPr>
            <w:r w:rsidRPr="00750120">
              <w:rPr>
                <w:lang w:val="es-ES"/>
              </w:rPr>
              <w:t>presentación de propuestas en forma electrónica en un archivo escaneado que no sea editable</w:t>
            </w:r>
            <w:r w:rsidR="00750120">
              <w:rPr>
                <w:lang w:val="es-ES"/>
              </w:rPr>
              <w:t>;</w:t>
            </w:r>
          </w:p>
          <w:p w14:paraId="1962F1E0" w14:textId="6A67A4ED" w:rsidR="00733B8B" w:rsidRPr="00750120" w:rsidRDefault="00750120" w:rsidP="004017B2">
            <w:pPr>
              <w:pStyle w:val="ListParagraph"/>
              <w:numPr>
                <w:ilvl w:val="0"/>
                <w:numId w:val="4"/>
              </w:numPr>
              <w:spacing w:before="40" w:after="40"/>
              <w:ind w:left="259" w:hanging="216"/>
              <w:contextualSpacing w:val="0"/>
              <w:rPr>
                <w:lang w:val="es-ES"/>
              </w:rPr>
            </w:pPr>
            <w:r>
              <w:rPr>
                <w:lang w:val="es-ES"/>
              </w:rPr>
              <w:t>p</w:t>
            </w:r>
            <w:r w:rsidR="007E7549" w:rsidRPr="00750120">
              <w:rPr>
                <w:lang w:val="es-ES"/>
              </w:rPr>
              <w:t xml:space="preserve">roveedores pueden solicitar aclaraciones sobre las </w:t>
            </w:r>
            <w:r w:rsidR="001751C5" w:rsidRPr="00750120">
              <w:rPr>
                <w:lang w:val="es-ES"/>
              </w:rPr>
              <w:t>razones</w:t>
            </w:r>
            <w:r w:rsidR="007E7549" w:rsidRPr="00750120">
              <w:rPr>
                <w:lang w:val="es-ES"/>
              </w:rPr>
              <w:t xml:space="preserve"> por las cuáles no fueron seleccionados; a ser respondidas por el </w:t>
            </w:r>
            <w:r>
              <w:rPr>
                <w:lang w:val="es-ES"/>
              </w:rPr>
              <w:t>C</w:t>
            </w:r>
            <w:r w:rsidR="007E7549" w:rsidRPr="00750120">
              <w:rPr>
                <w:lang w:val="es-ES"/>
              </w:rPr>
              <w:t>omprador dentro de un plazo razonable sin crear una pausa en el proceso;</w:t>
            </w:r>
          </w:p>
          <w:p w14:paraId="6892D7E2" w14:textId="532227BB" w:rsidR="007E7549" w:rsidRPr="00750120" w:rsidRDefault="00750120" w:rsidP="004017B2">
            <w:pPr>
              <w:pStyle w:val="ListParagraph"/>
              <w:numPr>
                <w:ilvl w:val="0"/>
                <w:numId w:val="4"/>
              </w:numPr>
              <w:spacing w:before="40" w:after="40"/>
              <w:ind w:left="259" w:hanging="216"/>
              <w:contextualSpacing w:val="0"/>
              <w:rPr>
                <w:lang w:val="es-ES"/>
              </w:rPr>
            </w:pPr>
            <w:r>
              <w:rPr>
                <w:lang w:val="es-ES"/>
              </w:rPr>
              <w:t>p</w:t>
            </w:r>
            <w:r w:rsidR="007E7549" w:rsidRPr="00750120">
              <w:rPr>
                <w:lang w:val="es-ES"/>
              </w:rPr>
              <w:t>ublicación de la adjudicación dentro de los 15 días o tan pronto como sea práctico hacerlo (tomando en cuenta la situación de emergencia)</w:t>
            </w:r>
          </w:p>
          <w:p w14:paraId="2EE30D23" w14:textId="2B341F47" w:rsidR="004017B2" w:rsidRPr="00750120" w:rsidRDefault="007E7549" w:rsidP="004017B2">
            <w:pPr>
              <w:pStyle w:val="ListParagraph"/>
              <w:numPr>
                <w:ilvl w:val="0"/>
                <w:numId w:val="4"/>
              </w:numPr>
              <w:spacing w:before="40" w:after="40"/>
              <w:ind w:left="259" w:hanging="216"/>
              <w:contextualSpacing w:val="0"/>
              <w:rPr>
                <w:lang w:val="es-ES"/>
              </w:rPr>
            </w:pPr>
            <w:r w:rsidRPr="00750120">
              <w:rPr>
                <w:lang w:val="es-ES"/>
              </w:rPr>
              <w:lastRenderedPageBreak/>
              <w:t xml:space="preserve">Garantía de anticipo para pagos que excedan 10% normalmente </w:t>
            </w:r>
          </w:p>
          <w:p w14:paraId="577BD4C7" w14:textId="3C46B525" w:rsidR="004017B2" w:rsidRPr="00750120" w:rsidRDefault="007E7549" w:rsidP="004017B2">
            <w:pPr>
              <w:pStyle w:val="ListParagraph"/>
              <w:numPr>
                <w:ilvl w:val="0"/>
                <w:numId w:val="4"/>
              </w:numPr>
              <w:spacing w:before="40" w:after="40"/>
              <w:ind w:left="259" w:hanging="216"/>
              <w:contextualSpacing w:val="0"/>
              <w:rPr>
                <w:lang w:val="es-ES"/>
              </w:rPr>
            </w:pPr>
            <w:r w:rsidRPr="00750120">
              <w:rPr>
                <w:lang w:val="es-ES"/>
              </w:rPr>
              <w:t xml:space="preserve">Disposiciones como resolución de disputas, fuerza mayor, resolución del contrato, Fraude &amp; Corrupción y derecho del Banco de hacer auditorías a ser incluidos. </w:t>
            </w:r>
          </w:p>
          <w:p w14:paraId="449EAC33" w14:textId="77777777" w:rsidR="004017B2" w:rsidRPr="00750120" w:rsidRDefault="004017B2">
            <w:pPr>
              <w:rPr>
                <w:lang w:val="es-ES"/>
              </w:rPr>
            </w:pPr>
          </w:p>
        </w:tc>
      </w:tr>
      <w:tr w:rsidR="004017B2" w:rsidRPr="00750120" w14:paraId="0F2287E3" w14:textId="77777777" w:rsidTr="00CC7D10">
        <w:tc>
          <w:tcPr>
            <w:tcW w:w="715" w:type="dxa"/>
            <w:vMerge/>
          </w:tcPr>
          <w:p w14:paraId="5464AA3E" w14:textId="77777777" w:rsidR="004017B2" w:rsidRPr="00750120" w:rsidRDefault="004017B2">
            <w:pPr>
              <w:rPr>
                <w:lang w:val="es-ES"/>
              </w:rPr>
            </w:pPr>
          </w:p>
        </w:tc>
        <w:tc>
          <w:tcPr>
            <w:tcW w:w="2790" w:type="dxa"/>
            <w:vMerge/>
          </w:tcPr>
          <w:p w14:paraId="34E3FE91" w14:textId="77777777" w:rsidR="004017B2" w:rsidRPr="00750120" w:rsidRDefault="004017B2">
            <w:pPr>
              <w:rPr>
                <w:lang w:val="es-ES"/>
              </w:rPr>
            </w:pPr>
          </w:p>
        </w:tc>
        <w:tc>
          <w:tcPr>
            <w:tcW w:w="3283" w:type="dxa"/>
          </w:tcPr>
          <w:p w14:paraId="29A9C5B0" w14:textId="3BF95EE6" w:rsidR="004017B2" w:rsidRPr="00750120" w:rsidRDefault="0053519C" w:rsidP="00A14329">
            <w:pPr>
              <w:pStyle w:val="ListParagraph"/>
              <w:numPr>
                <w:ilvl w:val="0"/>
                <w:numId w:val="5"/>
              </w:numPr>
              <w:ind w:left="256" w:hanging="270"/>
              <w:rPr>
                <w:lang w:val="es-ES"/>
              </w:rPr>
            </w:pPr>
            <w:r w:rsidRPr="00750120">
              <w:rPr>
                <w:lang w:val="es-ES"/>
              </w:rPr>
              <w:t xml:space="preserve">Proceso competitivo </w:t>
            </w:r>
            <w:r w:rsidR="007E7549" w:rsidRPr="00750120">
              <w:rPr>
                <w:lang w:val="es-ES"/>
              </w:rPr>
              <w:t>simplificado</w:t>
            </w:r>
            <w:r w:rsidRPr="00750120">
              <w:rPr>
                <w:lang w:val="es-ES"/>
              </w:rPr>
              <w:t xml:space="preserve">: se espera </w:t>
            </w:r>
            <w:r w:rsidR="007E7549" w:rsidRPr="00750120">
              <w:rPr>
                <w:lang w:val="es-ES"/>
              </w:rPr>
              <w:t xml:space="preserve">que </w:t>
            </w:r>
            <w:r w:rsidRPr="00750120">
              <w:rPr>
                <w:lang w:val="es-ES"/>
              </w:rPr>
              <w:t xml:space="preserve">sea usado independientemente del valor </w:t>
            </w:r>
            <w:r w:rsidR="007E7549" w:rsidRPr="00750120">
              <w:rPr>
                <w:lang w:val="es-ES"/>
              </w:rPr>
              <w:t>de la compra</w:t>
            </w:r>
          </w:p>
        </w:tc>
        <w:tc>
          <w:tcPr>
            <w:tcW w:w="3283" w:type="dxa"/>
          </w:tcPr>
          <w:p w14:paraId="7111AF93" w14:textId="5542CC3A" w:rsidR="004017B2" w:rsidRPr="00750120" w:rsidRDefault="0053519C" w:rsidP="00A14329">
            <w:pPr>
              <w:pStyle w:val="ListParagraph"/>
              <w:numPr>
                <w:ilvl w:val="0"/>
                <w:numId w:val="5"/>
              </w:numPr>
              <w:ind w:left="256" w:hanging="270"/>
              <w:rPr>
                <w:lang w:val="es-ES"/>
              </w:rPr>
            </w:pPr>
            <w:r w:rsidRPr="00750120">
              <w:rPr>
                <w:lang w:val="es-ES"/>
              </w:rPr>
              <w:t>se espera sea usado independientemente del valor</w:t>
            </w:r>
            <w:r w:rsidR="007E7549" w:rsidRPr="00750120">
              <w:rPr>
                <w:lang w:val="es-ES"/>
              </w:rPr>
              <w:t xml:space="preserve"> de la compra</w:t>
            </w:r>
          </w:p>
        </w:tc>
        <w:tc>
          <w:tcPr>
            <w:tcW w:w="2879" w:type="dxa"/>
            <w:vMerge/>
          </w:tcPr>
          <w:p w14:paraId="4E8994E9" w14:textId="77777777" w:rsidR="004017B2" w:rsidRPr="00750120" w:rsidRDefault="004017B2">
            <w:pPr>
              <w:rPr>
                <w:lang w:val="es-ES"/>
              </w:rPr>
            </w:pPr>
          </w:p>
        </w:tc>
      </w:tr>
      <w:tr w:rsidR="00A14329" w:rsidRPr="00750120" w14:paraId="01663C32" w14:textId="77777777" w:rsidTr="00CC7D10">
        <w:tc>
          <w:tcPr>
            <w:tcW w:w="715" w:type="dxa"/>
            <w:vMerge w:val="restart"/>
          </w:tcPr>
          <w:p w14:paraId="3AC3CFC1" w14:textId="77777777" w:rsidR="00A14329" w:rsidRPr="00750120" w:rsidRDefault="00A14329">
            <w:pPr>
              <w:rPr>
                <w:lang w:val="es-ES"/>
              </w:rPr>
            </w:pPr>
            <w:r w:rsidRPr="00750120">
              <w:rPr>
                <w:lang w:val="es-ES"/>
              </w:rPr>
              <w:t>2.</w:t>
            </w:r>
          </w:p>
        </w:tc>
        <w:tc>
          <w:tcPr>
            <w:tcW w:w="2790" w:type="dxa"/>
            <w:vMerge w:val="restart"/>
          </w:tcPr>
          <w:p w14:paraId="33609864" w14:textId="1502F318" w:rsidR="0053519C" w:rsidRPr="00750120" w:rsidRDefault="0053519C" w:rsidP="00AE75A0">
            <w:pPr>
              <w:ind w:left="-20"/>
              <w:rPr>
                <w:b/>
                <w:lang w:val="es-ES"/>
              </w:rPr>
            </w:pPr>
            <w:r w:rsidRPr="00750120">
              <w:rPr>
                <w:b/>
                <w:lang w:val="es-ES"/>
              </w:rPr>
              <w:t>Procedimiento de Adquisiciones Simplificado</w:t>
            </w:r>
          </w:p>
          <w:p w14:paraId="22099B91" w14:textId="77777777" w:rsidR="0053519C" w:rsidRPr="00750120" w:rsidRDefault="0053519C" w:rsidP="00AE75A0">
            <w:pPr>
              <w:ind w:left="-20"/>
              <w:rPr>
                <w:b/>
                <w:lang w:val="es-ES"/>
              </w:rPr>
            </w:pPr>
          </w:p>
          <w:p w14:paraId="504C4466" w14:textId="77777777" w:rsidR="00A14329" w:rsidRPr="00750120" w:rsidRDefault="00A14329" w:rsidP="000D6813">
            <w:pPr>
              <w:ind w:left="-20"/>
              <w:rPr>
                <w:lang w:val="es-ES"/>
              </w:rPr>
            </w:pPr>
          </w:p>
        </w:tc>
        <w:tc>
          <w:tcPr>
            <w:tcW w:w="3283" w:type="dxa"/>
          </w:tcPr>
          <w:p w14:paraId="0BD210C2" w14:textId="77777777" w:rsidR="00FA2351" w:rsidRPr="00750120" w:rsidRDefault="00FA2351" w:rsidP="00AE75A0">
            <w:pPr>
              <w:pStyle w:val="ListParagraph"/>
              <w:numPr>
                <w:ilvl w:val="0"/>
                <w:numId w:val="5"/>
              </w:numPr>
              <w:ind w:left="256" w:hanging="270"/>
              <w:rPr>
                <w:lang w:val="es-ES"/>
              </w:rPr>
            </w:pPr>
            <w:r w:rsidRPr="00750120">
              <w:rPr>
                <w:lang w:val="es-ES"/>
              </w:rPr>
              <w:t xml:space="preserve">Emisión de la SdC y presentación de las cotizaciones por vía electrónica </w:t>
            </w:r>
          </w:p>
          <w:p w14:paraId="18E8E4FC" w14:textId="1EEC6480" w:rsidR="00A14329" w:rsidRPr="00750120" w:rsidRDefault="00A14329" w:rsidP="00750120">
            <w:pPr>
              <w:ind w:left="-14"/>
              <w:rPr>
                <w:lang w:val="es-ES"/>
              </w:rPr>
            </w:pPr>
          </w:p>
        </w:tc>
        <w:tc>
          <w:tcPr>
            <w:tcW w:w="3283" w:type="dxa"/>
          </w:tcPr>
          <w:p w14:paraId="39A5488D" w14:textId="6A717D9A" w:rsidR="00A14329" w:rsidRPr="00750120" w:rsidRDefault="00FA2351" w:rsidP="00AE75A0">
            <w:pPr>
              <w:pStyle w:val="ListParagraph"/>
              <w:numPr>
                <w:ilvl w:val="0"/>
                <w:numId w:val="5"/>
              </w:numPr>
              <w:ind w:left="211" w:hanging="180"/>
              <w:rPr>
                <w:lang w:val="es-ES"/>
              </w:rPr>
            </w:pPr>
            <w:r w:rsidRPr="00750120">
              <w:rPr>
                <w:lang w:val="es-ES"/>
              </w:rPr>
              <w:t xml:space="preserve">Emisión de la invitación </w:t>
            </w:r>
            <w:r w:rsidRPr="00750120">
              <w:rPr>
                <w:lang w:val="es-ES"/>
              </w:rPr>
              <w:t>para la contratación directa</w:t>
            </w:r>
            <w:r w:rsidRPr="00750120">
              <w:rPr>
                <w:lang w:val="es-ES"/>
              </w:rPr>
              <w:t xml:space="preserve"> y recepción de las ofertas por vía electrónica </w:t>
            </w:r>
          </w:p>
        </w:tc>
        <w:tc>
          <w:tcPr>
            <w:tcW w:w="2879" w:type="dxa"/>
            <w:vMerge/>
          </w:tcPr>
          <w:p w14:paraId="14DD1B1F" w14:textId="77777777" w:rsidR="00A14329" w:rsidRPr="00750120" w:rsidRDefault="00A14329">
            <w:pPr>
              <w:rPr>
                <w:lang w:val="es-ES"/>
              </w:rPr>
            </w:pPr>
          </w:p>
        </w:tc>
      </w:tr>
      <w:tr w:rsidR="00A14329" w:rsidRPr="00750120" w14:paraId="4A0452E5" w14:textId="77777777" w:rsidTr="00D43619">
        <w:trPr>
          <w:trHeight w:val="1181"/>
        </w:trPr>
        <w:tc>
          <w:tcPr>
            <w:tcW w:w="715" w:type="dxa"/>
            <w:vMerge/>
          </w:tcPr>
          <w:p w14:paraId="4A200C07" w14:textId="77777777" w:rsidR="00A14329" w:rsidRPr="00750120" w:rsidRDefault="00A14329">
            <w:pPr>
              <w:rPr>
                <w:lang w:val="es-ES"/>
              </w:rPr>
            </w:pPr>
          </w:p>
        </w:tc>
        <w:tc>
          <w:tcPr>
            <w:tcW w:w="2790" w:type="dxa"/>
            <w:vMerge/>
          </w:tcPr>
          <w:p w14:paraId="4A7A356C" w14:textId="77777777" w:rsidR="00A14329" w:rsidRPr="00750120" w:rsidRDefault="00A14329" w:rsidP="00AE75A0">
            <w:pPr>
              <w:ind w:left="-20"/>
              <w:rPr>
                <w:b/>
                <w:lang w:val="es-ES"/>
              </w:rPr>
            </w:pPr>
          </w:p>
        </w:tc>
        <w:tc>
          <w:tcPr>
            <w:tcW w:w="6566" w:type="dxa"/>
            <w:gridSpan w:val="2"/>
          </w:tcPr>
          <w:p w14:paraId="4D603D1C" w14:textId="49DD6E56" w:rsidR="00A14329" w:rsidRPr="00750120" w:rsidRDefault="00D43619" w:rsidP="00AE75A0">
            <w:pPr>
              <w:pStyle w:val="ListParagraph"/>
              <w:numPr>
                <w:ilvl w:val="0"/>
                <w:numId w:val="5"/>
              </w:numPr>
              <w:ind w:left="256" w:hanging="270"/>
              <w:rPr>
                <w:lang w:val="es-ES"/>
              </w:rPr>
            </w:pPr>
            <w:r w:rsidRPr="00750120">
              <w:rPr>
                <w:lang w:val="es-ES"/>
              </w:rPr>
              <w:t xml:space="preserve">comunicaciones electrónicas (incluyendo </w:t>
            </w:r>
            <w:r w:rsidRPr="00750120">
              <w:rPr>
                <w:i/>
                <w:iCs/>
                <w:lang w:val="es-ES"/>
              </w:rPr>
              <w:t>e-procurement</w:t>
            </w:r>
            <w:r w:rsidRPr="00750120">
              <w:rPr>
                <w:lang w:val="es-ES"/>
              </w:rPr>
              <w:t>, email y fax) como canales principales de comunicación entre el Comprador y los Proveedores</w:t>
            </w:r>
            <w:r w:rsidR="00A14329" w:rsidRPr="00750120">
              <w:rPr>
                <w:lang w:val="es-ES"/>
              </w:rPr>
              <w:t xml:space="preserve">; </w:t>
            </w:r>
          </w:p>
          <w:p w14:paraId="001542F4" w14:textId="7151941F" w:rsidR="00A14329" w:rsidRPr="00750120" w:rsidRDefault="00D43619" w:rsidP="00AE75A0">
            <w:pPr>
              <w:pStyle w:val="ListParagraph"/>
              <w:numPr>
                <w:ilvl w:val="0"/>
                <w:numId w:val="5"/>
              </w:numPr>
              <w:ind w:left="256" w:hanging="270"/>
              <w:rPr>
                <w:lang w:val="es-ES"/>
              </w:rPr>
            </w:pPr>
            <w:r w:rsidRPr="00750120">
              <w:rPr>
                <w:lang w:val="es-ES"/>
              </w:rPr>
              <w:t>cualquier reunión virtual</w:t>
            </w:r>
            <w:r w:rsidR="00A14329" w:rsidRPr="00750120">
              <w:rPr>
                <w:lang w:val="es-ES"/>
              </w:rPr>
              <w:t xml:space="preserve"> (audio/video)</w:t>
            </w:r>
          </w:p>
        </w:tc>
        <w:tc>
          <w:tcPr>
            <w:tcW w:w="2879" w:type="dxa"/>
            <w:vMerge/>
          </w:tcPr>
          <w:p w14:paraId="4AB62DB5" w14:textId="77777777" w:rsidR="00A14329" w:rsidRPr="00750120" w:rsidRDefault="00A14329">
            <w:pPr>
              <w:rPr>
                <w:lang w:val="es-ES"/>
              </w:rPr>
            </w:pPr>
          </w:p>
        </w:tc>
      </w:tr>
      <w:tr w:rsidR="00A14329" w:rsidRPr="00750120" w14:paraId="33E5FE76" w14:textId="77777777" w:rsidTr="00D43619">
        <w:trPr>
          <w:trHeight w:val="702"/>
        </w:trPr>
        <w:tc>
          <w:tcPr>
            <w:tcW w:w="715" w:type="dxa"/>
            <w:vMerge/>
          </w:tcPr>
          <w:p w14:paraId="22ECF003" w14:textId="77777777" w:rsidR="00A14329" w:rsidRPr="00750120" w:rsidRDefault="00A14329">
            <w:pPr>
              <w:rPr>
                <w:lang w:val="es-ES"/>
              </w:rPr>
            </w:pPr>
          </w:p>
        </w:tc>
        <w:tc>
          <w:tcPr>
            <w:tcW w:w="2790" w:type="dxa"/>
            <w:vMerge/>
          </w:tcPr>
          <w:p w14:paraId="76C06E3D" w14:textId="77777777" w:rsidR="00A14329" w:rsidRPr="00750120" w:rsidRDefault="00A14329" w:rsidP="00AE75A0">
            <w:pPr>
              <w:ind w:left="-20"/>
              <w:rPr>
                <w:b/>
                <w:lang w:val="es-ES"/>
              </w:rPr>
            </w:pPr>
          </w:p>
        </w:tc>
        <w:tc>
          <w:tcPr>
            <w:tcW w:w="3283" w:type="dxa"/>
          </w:tcPr>
          <w:p w14:paraId="4F52217B" w14:textId="1D7BC9EB" w:rsidR="00A14329" w:rsidRPr="00750120" w:rsidRDefault="00DD7AAC" w:rsidP="00AE75A0">
            <w:pPr>
              <w:pStyle w:val="ListParagraph"/>
              <w:numPr>
                <w:ilvl w:val="0"/>
                <w:numId w:val="5"/>
              </w:numPr>
              <w:ind w:left="256" w:hanging="270"/>
              <w:rPr>
                <w:lang w:val="es-ES"/>
              </w:rPr>
            </w:pPr>
            <w:r w:rsidRPr="00750120">
              <w:rPr>
                <w:lang w:val="es-ES"/>
              </w:rPr>
              <w:t>No hay apertura pública de las cotizaciones</w:t>
            </w:r>
          </w:p>
        </w:tc>
        <w:tc>
          <w:tcPr>
            <w:tcW w:w="3283" w:type="dxa"/>
          </w:tcPr>
          <w:p w14:paraId="1CDB4753" w14:textId="77777777" w:rsidR="00A14329" w:rsidRPr="00750120" w:rsidRDefault="00A14329" w:rsidP="00AE75A0">
            <w:pPr>
              <w:pStyle w:val="ListParagraph"/>
              <w:ind w:left="211"/>
              <w:rPr>
                <w:lang w:val="es-ES"/>
              </w:rPr>
            </w:pPr>
            <w:r w:rsidRPr="00750120">
              <w:rPr>
                <w:lang w:val="es-ES"/>
              </w:rPr>
              <w:t>N/A</w:t>
            </w:r>
          </w:p>
        </w:tc>
        <w:tc>
          <w:tcPr>
            <w:tcW w:w="2879" w:type="dxa"/>
            <w:vMerge/>
          </w:tcPr>
          <w:p w14:paraId="234BF440" w14:textId="77777777" w:rsidR="00A14329" w:rsidRPr="00750120" w:rsidRDefault="00A14329">
            <w:pPr>
              <w:rPr>
                <w:lang w:val="es-ES"/>
              </w:rPr>
            </w:pPr>
          </w:p>
        </w:tc>
      </w:tr>
      <w:tr w:rsidR="00A14329" w:rsidRPr="00750120" w14:paraId="44E618D8" w14:textId="77777777" w:rsidTr="00CC7D10">
        <w:tc>
          <w:tcPr>
            <w:tcW w:w="715" w:type="dxa"/>
            <w:vMerge/>
          </w:tcPr>
          <w:p w14:paraId="195FCC16" w14:textId="77777777" w:rsidR="00A14329" w:rsidRPr="00750120" w:rsidRDefault="00A14329">
            <w:pPr>
              <w:rPr>
                <w:lang w:val="es-ES"/>
              </w:rPr>
            </w:pPr>
          </w:p>
        </w:tc>
        <w:tc>
          <w:tcPr>
            <w:tcW w:w="2790" w:type="dxa"/>
            <w:vMerge/>
          </w:tcPr>
          <w:p w14:paraId="0B252BF5" w14:textId="77777777" w:rsidR="00A14329" w:rsidRPr="00750120" w:rsidRDefault="00A14329" w:rsidP="00AE75A0">
            <w:pPr>
              <w:ind w:left="-20"/>
              <w:rPr>
                <w:b/>
                <w:lang w:val="es-ES"/>
              </w:rPr>
            </w:pPr>
          </w:p>
        </w:tc>
        <w:tc>
          <w:tcPr>
            <w:tcW w:w="3283" w:type="dxa"/>
          </w:tcPr>
          <w:p w14:paraId="2C13FFD1" w14:textId="38B8D2A7" w:rsidR="00A14329" w:rsidRPr="00750120" w:rsidRDefault="00DD7AAC" w:rsidP="00AE75A0">
            <w:pPr>
              <w:pStyle w:val="ListParagraph"/>
              <w:numPr>
                <w:ilvl w:val="0"/>
                <w:numId w:val="5"/>
              </w:numPr>
              <w:ind w:left="256" w:hanging="270"/>
              <w:rPr>
                <w:lang w:val="es-ES"/>
              </w:rPr>
            </w:pPr>
            <w:r w:rsidRPr="00750120">
              <w:rPr>
                <w:lang w:val="es-ES"/>
              </w:rPr>
              <w:t>No hay Garantía de Mantenimiento de la Oferta</w:t>
            </w:r>
          </w:p>
        </w:tc>
        <w:tc>
          <w:tcPr>
            <w:tcW w:w="3283" w:type="dxa"/>
          </w:tcPr>
          <w:p w14:paraId="68D1C460" w14:textId="77777777" w:rsidR="00A14329" w:rsidRPr="00750120" w:rsidRDefault="00A14329" w:rsidP="00AE75A0">
            <w:pPr>
              <w:pStyle w:val="ListParagraph"/>
              <w:ind w:left="211"/>
              <w:rPr>
                <w:lang w:val="es-ES"/>
              </w:rPr>
            </w:pPr>
            <w:r w:rsidRPr="00750120">
              <w:rPr>
                <w:lang w:val="es-ES"/>
              </w:rPr>
              <w:t>N/A</w:t>
            </w:r>
          </w:p>
          <w:p w14:paraId="692A7950" w14:textId="77777777" w:rsidR="00D43619" w:rsidRPr="00750120" w:rsidRDefault="00D43619" w:rsidP="00AE75A0">
            <w:pPr>
              <w:pStyle w:val="ListParagraph"/>
              <w:ind w:left="211"/>
              <w:rPr>
                <w:lang w:val="es-ES"/>
              </w:rPr>
            </w:pPr>
          </w:p>
          <w:p w14:paraId="1649B60B" w14:textId="52678A1E" w:rsidR="00D43619" w:rsidRPr="00750120" w:rsidRDefault="00D43619" w:rsidP="00AE75A0">
            <w:pPr>
              <w:pStyle w:val="ListParagraph"/>
              <w:ind w:left="211"/>
              <w:rPr>
                <w:lang w:val="es-ES"/>
              </w:rPr>
            </w:pPr>
          </w:p>
        </w:tc>
        <w:tc>
          <w:tcPr>
            <w:tcW w:w="2879" w:type="dxa"/>
            <w:vMerge/>
          </w:tcPr>
          <w:p w14:paraId="24D9718E" w14:textId="77777777" w:rsidR="00A14329" w:rsidRPr="00750120" w:rsidRDefault="00A14329">
            <w:pPr>
              <w:rPr>
                <w:lang w:val="es-ES"/>
              </w:rPr>
            </w:pPr>
          </w:p>
        </w:tc>
      </w:tr>
      <w:tr w:rsidR="00A14329" w:rsidRPr="00750120" w14:paraId="7897B6DB" w14:textId="77777777" w:rsidTr="00D43619">
        <w:trPr>
          <w:trHeight w:val="1034"/>
        </w:trPr>
        <w:tc>
          <w:tcPr>
            <w:tcW w:w="715" w:type="dxa"/>
            <w:vMerge/>
          </w:tcPr>
          <w:p w14:paraId="4A540284" w14:textId="77777777" w:rsidR="00A14329" w:rsidRPr="00750120" w:rsidRDefault="00A14329">
            <w:pPr>
              <w:rPr>
                <w:lang w:val="es-ES"/>
              </w:rPr>
            </w:pPr>
          </w:p>
        </w:tc>
        <w:tc>
          <w:tcPr>
            <w:tcW w:w="2790" w:type="dxa"/>
            <w:vMerge/>
          </w:tcPr>
          <w:p w14:paraId="13F158F3" w14:textId="77777777" w:rsidR="00A14329" w:rsidRPr="00750120" w:rsidRDefault="00A14329" w:rsidP="00AE75A0">
            <w:pPr>
              <w:ind w:left="-20"/>
              <w:rPr>
                <w:b/>
                <w:lang w:val="es-ES"/>
              </w:rPr>
            </w:pPr>
          </w:p>
        </w:tc>
        <w:tc>
          <w:tcPr>
            <w:tcW w:w="6566" w:type="dxa"/>
            <w:gridSpan w:val="2"/>
          </w:tcPr>
          <w:p w14:paraId="2CEE1155" w14:textId="4ADB18BF" w:rsidR="00A14329" w:rsidRPr="00750120" w:rsidRDefault="00DD7AAC" w:rsidP="00AE75A0">
            <w:pPr>
              <w:pStyle w:val="ListParagraph"/>
              <w:numPr>
                <w:ilvl w:val="0"/>
                <w:numId w:val="5"/>
              </w:numPr>
              <w:ind w:left="256" w:hanging="256"/>
              <w:rPr>
                <w:lang w:val="es-ES"/>
              </w:rPr>
            </w:pPr>
            <w:r w:rsidRPr="00750120">
              <w:rPr>
                <w:lang w:val="es-ES"/>
              </w:rPr>
              <w:t xml:space="preserve">garantía de cumplimiento normalmente no requerida; en casos </w:t>
            </w:r>
            <w:r w:rsidR="00816F5E" w:rsidRPr="00750120">
              <w:rPr>
                <w:lang w:val="es-ES"/>
              </w:rPr>
              <w:t xml:space="preserve">excepcionales la garantía de cumplimiento puede requerirse (basado en riesgo) </w:t>
            </w:r>
          </w:p>
        </w:tc>
        <w:tc>
          <w:tcPr>
            <w:tcW w:w="2879" w:type="dxa"/>
            <w:vMerge/>
          </w:tcPr>
          <w:p w14:paraId="441BC66A" w14:textId="77777777" w:rsidR="00A14329" w:rsidRPr="00750120" w:rsidRDefault="00A14329">
            <w:pPr>
              <w:rPr>
                <w:lang w:val="es-ES"/>
              </w:rPr>
            </w:pPr>
          </w:p>
        </w:tc>
      </w:tr>
      <w:tr w:rsidR="00A14329" w:rsidRPr="00750120" w14:paraId="70A464DE" w14:textId="77777777" w:rsidTr="00D43619">
        <w:trPr>
          <w:trHeight w:val="909"/>
        </w:trPr>
        <w:tc>
          <w:tcPr>
            <w:tcW w:w="715" w:type="dxa"/>
            <w:vMerge/>
          </w:tcPr>
          <w:p w14:paraId="6F4EF467" w14:textId="77777777" w:rsidR="00A14329" w:rsidRPr="00750120" w:rsidRDefault="00A14329">
            <w:pPr>
              <w:rPr>
                <w:lang w:val="es-ES"/>
              </w:rPr>
            </w:pPr>
          </w:p>
        </w:tc>
        <w:tc>
          <w:tcPr>
            <w:tcW w:w="2790" w:type="dxa"/>
            <w:vMerge/>
          </w:tcPr>
          <w:p w14:paraId="43031592" w14:textId="77777777" w:rsidR="00A14329" w:rsidRPr="00750120" w:rsidRDefault="00A14329" w:rsidP="00AE75A0">
            <w:pPr>
              <w:ind w:left="-20"/>
              <w:rPr>
                <w:b/>
                <w:lang w:val="es-ES"/>
              </w:rPr>
            </w:pPr>
          </w:p>
        </w:tc>
        <w:tc>
          <w:tcPr>
            <w:tcW w:w="6566" w:type="dxa"/>
            <w:gridSpan w:val="2"/>
          </w:tcPr>
          <w:p w14:paraId="685F4925" w14:textId="34F290EA" w:rsidR="00A14329" w:rsidRPr="00750120" w:rsidRDefault="00816F5E" w:rsidP="00B67FC9">
            <w:pPr>
              <w:pStyle w:val="ListParagraph"/>
              <w:numPr>
                <w:ilvl w:val="0"/>
                <w:numId w:val="5"/>
              </w:numPr>
              <w:spacing w:before="40" w:after="40"/>
              <w:ind w:left="256" w:hanging="256"/>
              <w:contextualSpacing w:val="0"/>
              <w:rPr>
                <w:lang w:val="es-ES"/>
              </w:rPr>
            </w:pPr>
            <w:r w:rsidRPr="00750120">
              <w:rPr>
                <w:lang w:val="es-ES"/>
              </w:rPr>
              <w:t xml:space="preserve">Opcional: período de entrega a partir de un hito claramente especificado (si se trata de necesidad urgente, </w:t>
            </w:r>
            <w:r w:rsidR="007E7549" w:rsidRPr="00750120">
              <w:rPr>
                <w:lang w:val="es-ES"/>
              </w:rPr>
              <w:t>se puede especificar un</w:t>
            </w:r>
            <w:r w:rsidRPr="00750120">
              <w:rPr>
                <w:lang w:val="es-ES"/>
              </w:rPr>
              <w:t xml:space="preserve"> período de entrega corto) </w:t>
            </w:r>
          </w:p>
        </w:tc>
        <w:tc>
          <w:tcPr>
            <w:tcW w:w="2879" w:type="dxa"/>
            <w:vMerge/>
          </w:tcPr>
          <w:p w14:paraId="2A85F8BE" w14:textId="77777777" w:rsidR="00A14329" w:rsidRPr="00750120" w:rsidRDefault="00A14329">
            <w:pPr>
              <w:rPr>
                <w:lang w:val="es-ES"/>
              </w:rPr>
            </w:pPr>
          </w:p>
        </w:tc>
      </w:tr>
      <w:tr w:rsidR="00A14329" w:rsidRPr="00750120" w14:paraId="782D5161" w14:textId="77777777" w:rsidTr="00D43619">
        <w:trPr>
          <w:trHeight w:val="994"/>
        </w:trPr>
        <w:tc>
          <w:tcPr>
            <w:tcW w:w="715" w:type="dxa"/>
            <w:vMerge/>
          </w:tcPr>
          <w:p w14:paraId="6DBE7C4D" w14:textId="77777777" w:rsidR="00A14329" w:rsidRPr="00750120" w:rsidRDefault="00A14329">
            <w:pPr>
              <w:rPr>
                <w:lang w:val="es-ES"/>
              </w:rPr>
            </w:pPr>
          </w:p>
        </w:tc>
        <w:tc>
          <w:tcPr>
            <w:tcW w:w="2790" w:type="dxa"/>
            <w:vMerge/>
          </w:tcPr>
          <w:p w14:paraId="3FB3864A" w14:textId="77777777" w:rsidR="00A14329" w:rsidRPr="00750120" w:rsidRDefault="00A14329" w:rsidP="00AE75A0">
            <w:pPr>
              <w:ind w:left="-20"/>
              <w:rPr>
                <w:b/>
                <w:lang w:val="es-ES"/>
              </w:rPr>
            </w:pPr>
          </w:p>
        </w:tc>
        <w:tc>
          <w:tcPr>
            <w:tcW w:w="6566" w:type="dxa"/>
            <w:gridSpan w:val="2"/>
          </w:tcPr>
          <w:p w14:paraId="6533A982" w14:textId="791C66B6" w:rsidR="00A14329" w:rsidRPr="00750120" w:rsidRDefault="007E7549" w:rsidP="00B67FC9">
            <w:pPr>
              <w:pStyle w:val="ListParagraph"/>
              <w:numPr>
                <w:ilvl w:val="0"/>
                <w:numId w:val="5"/>
              </w:numPr>
              <w:spacing w:before="40" w:after="40"/>
              <w:ind w:left="256" w:hanging="270"/>
              <w:contextualSpacing w:val="0"/>
              <w:rPr>
                <w:lang w:val="es-ES"/>
              </w:rPr>
            </w:pPr>
            <w:r w:rsidRPr="00750120">
              <w:rPr>
                <w:lang w:val="es-ES"/>
              </w:rPr>
              <w:t xml:space="preserve">Opcional: </w:t>
            </w:r>
            <w:r w:rsidR="001751C5" w:rsidRPr="00750120">
              <w:rPr>
                <w:lang w:val="es-ES"/>
              </w:rPr>
              <w:t>entrega puede o no incluir costos de transporte dependiendo de las circunstancias (para disminuir la percepción de riesgos del proveedor extranjero; ser flexible.</w:t>
            </w:r>
          </w:p>
        </w:tc>
        <w:tc>
          <w:tcPr>
            <w:tcW w:w="2879" w:type="dxa"/>
            <w:vMerge/>
          </w:tcPr>
          <w:p w14:paraId="09FADE42" w14:textId="77777777" w:rsidR="00A14329" w:rsidRPr="00750120" w:rsidRDefault="00A14329">
            <w:pPr>
              <w:rPr>
                <w:lang w:val="es-ES"/>
              </w:rPr>
            </w:pPr>
          </w:p>
        </w:tc>
      </w:tr>
      <w:tr w:rsidR="00A14329" w:rsidRPr="00750120" w14:paraId="39BEF866" w14:textId="77777777" w:rsidTr="00D14DA2">
        <w:tc>
          <w:tcPr>
            <w:tcW w:w="715" w:type="dxa"/>
            <w:vMerge/>
          </w:tcPr>
          <w:p w14:paraId="7D97FA69" w14:textId="77777777" w:rsidR="00A14329" w:rsidRPr="00750120" w:rsidRDefault="00A14329">
            <w:pPr>
              <w:rPr>
                <w:lang w:val="es-ES"/>
              </w:rPr>
            </w:pPr>
          </w:p>
        </w:tc>
        <w:tc>
          <w:tcPr>
            <w:tcW w:w="2790" w:type="dxa"/>
            <w:vMerge/>
          </w:tcPr>
          <w:p w14:paraId="4A6E77DE" w14:textId="77777777" w:rsidR="00A14329" w:rsidRPr="00750120" w:rsidRDefault="00A14329" w:rsidP="00AE75A0">
            <w:pPr>
              <w:ind w:left="-20"/>
              <w:rPr>
                <w:b/>
                <w:lang w:val="es-ES"/>
              </w:rPr>
            </w:pPr>
          </w:p>
        </w:tc>
        <w:tc>
          <w:tcPr>
            <w:tcW w:w="6566" w:type="dxa"/>
            <w:gridSpan w:val="2"/>
          </w:tcPr>
          <w:p w14:paraId="59959858" w14:textId="77777777" w:rsidR="00A14329" w:rsidRPr="00750120" w:rsidRDefault="001751C5" w:rsidP="00B67FC9">
            <w:pPr>
              <w:pStyle w:val="ListParagraph"/>
              <w:numPr>
                <w:ilvl w:val="0"/>
                <w:numId w:val="5"/>
              </w:numPr>
              <w:spacing w:before="40" w:after="40"/>
              <w:ind w:left="256" w:hanging="256"/>
              <w:contextualSpacing w:val="0"/>
              <w:rPr>
                <w:lang w:val="es-ES"/>
              </w:rPr>
            </w:pPr>
            <w:r w:rsidRPr="00750120">
              <w:rPr>
                <w:lang w:val="es-ES"/>
              </w:rPr>
              <w:t xml:space="preserve">Opcional: entregas parciales o en fases de entrega (para flexibilidad) </w:t>
            </w:r>
          </w:p>
          <w:p w14:paraId="0AF964E1" w14:textId="1D7CD8CB" w:rsidR="00D43619" w:rsidRPr="00750120" w:rsidRDefault="00D43619" w:rsidP="00750120">
            <w:pPr>
              <w:spacing w:before="40" w:after="40"/>
              <w:rPr>
                <w:lang w:val="es-ES"/>
              </w:rPr>
            </w:pPr>
          </w:p>
        </w:tc>
        <w:tc>
          <w:tcPr>
            <w:tcW w:w="2879" w:type="dxa"/>
            <w:vMerge/>
          </w:tcPr>
          <w:p w14:paraId="1C9FCE6D" w14:textId="77777777" w:rsidR="00A14329" w:rsidRPr="00750120" w:rsidRDefault="00A14329">
            <w:pPr>
              <w:rPr>
                <w:lang w:val="es-ES"/>
              </w:rPr>
            </w:pPr>
          </w:p>
        </w:tc>
      </w:tr>
      <w:tr w:rsidR="00A554A1" w:rsidRPr="00750120" w14:paraId="32F6A971" w14:textId="77777777" w:rsidTr="00D43619">
        <w:trPr>
          <w:trHeight w:val="718"/>
        </w:trPr>
        <w:tc>
          <w:tcPr>
            <w:tcW w:w="715" w:type="dxa"/>
            <w:vMerge/>
          </w:tcPr>
          <w:p w14:paraId="35BE6447" w14:textId="77777777" w:rsidR="00A554A1" w:rsidRPr="00750120" w:rsidRDefault="00A554A1">
            <w:pPr>
              <w:rPr>
                <w:lang w:val="es-ES"/>
              </w:rPr>
            </w:pPr>
          </w:p>
        </w:tc>
        <w:tc>
          <w:tcPr>
            <w:tcW w:w="2790" w:type="dxa"/>
            <w:vMerge/>
          </w:tcPr>
          <w:p w14:paraId="6419C558" w14:textId="77777777" w:rsidR="00A554A1" w:rsidRPr="00750120" w:rsidRDefault="00A554A1" w:rsidP="00AE75A0">
            <w:pPr>
              <w:ind w:left="-20"/>
              <w:rPr>
                <w:b/>
                <w:lang w:val="es-ES"/>
              </w:rPr>
            </w:pPr>
          </w:p>
        </w:tc>
        <w:tc>
          <w:tcPr>
            <w:tcW w:w="6566" w:type="dxa"/>
            <w:gridSpan w:val="2"/>
          </w:tcPr>
          <w:p w14:paraId="6AA0E900" w14:textId="0ADB7CEC" w:rsidR="00A554A1" w:rsidRPr="00750120" w:rsidRDefault="001751C5" w:rsidP="00D43619">
            <w:pPr>
              <w:pStyle w:val="ListParagraph"/>
              <w:numPr>
                <w:ilvl w:val="0"/>
                <w:numId w:val="5"/>
              </w:numPr>
              <w:spacing w:before="40" w:after="40"/>
              <w:ind w:left="256" w:hanging="256"/>
              <w:contextualSpacing w:val="0"/>
              <w:rPr>
                <w:lang w:val="es-ES"/>
              </w:rPr>
            </w:pPr>
            <w:r w:rsidRPr="00750120">
              <w:rPr>
                <w:lang w:val="es-ES"/>
              </w:rPr>
              <w:t>Opcional: CIP/FCA para bienes del extranjero para atender el fin - puede ser negociado</w:t>
            </w:r>
          </w:p>
        </w:tc>
        <w:tc>
          <w:tcPr>
            <w:tcW w:w="2879" w:type="dxa"/>
            <w:vMerge/>
          </w:tcPr>
          <w:p w14:paraId="3A178283" w14:textId="77777777" w:rsidR="00A554A1" w:rsidRPr="00750120" w:rsidRDefault="00A554A1">
            <w:pPr>
              <w:rPr>
                <w:lang w:val="es-ES"/>
              </w:rPr>
            </w:pPr>
          </w:p>
        </w:tc>
      </w:tr>
      <w:tr w:rsidR="00A14329" w:rsidRPr="00750120" w14:paraId="608DAF66" w14:textId="77777777" w:rsidTr="00CC7D10">
        <w:tc>
          <w:tcPr>
            <w:tcW w:w="715" w:type="dxa"/>
            <w:vMerge/>
          </w:tcPr>
          <w:p w14:paraId="6E4C41DC" w14:textId="77777777" w:rsidR="00A14329" w:rsidRPr="00750120" w:rsidRDefault="00A14329">
            <w:pPr>
              <w:rPr>
                <w:lang w:val="es-ES"/>
              </w:rPr>
            </w:pPr>
          </w:p>
        </w:tc>
        <w:tc>
          <w:tcPr>
            <w:tcW w:w="2790" w:type="dxa"/>
            <w:vMerge/>
          </w:tcPr>
          <w:p w14:paraId="7E8788D5" w14:textId="77777777" w:rsidR="00A14329" w:rsidRPr="00750120" w:rsidRDefault="00A14329" w:rsidP="00AE75A0">
            <w:pPr>
              <w:ind w:left="-20"/>
              <w:rPr>
                <w:b/>
                <w:lang w:val="es-ES"/>
              </w:rPr>
            </w:pPr>
          </w:p>
        </w:tc>
        <w:tc>
          <w:tcPr>
            <w:tcW w:w="3283" w:type="dxa"/>
          </w:tcPr>
          <w:p w14:paraId="30995395" w14:textId="6DD10343" w:rsidR="00A14329" w:rsidRPr="00750120" w:rsidRDefault="00A14329" w:rsidP="00B67FC9">
            <w:pPr>
              <w:pStyle w:val="ListParagraph"/>
              <w:numPr>
                <w:ilvl w:val="0"/>
                <w:numId w:val="5"/>
              </w:numPr>
              <w:spacing w:before="40" w:after="40"/>
              <w:ind w:left="256" w:hanging="256"/>
              <w:contextualSpacing w:val="0"/>
              <w:rPr>
                <w:lang w:val="es-ES"/>
              </w:rPr>
            </w:pPr>
            <w:r w:rsidRPr="00750120">
              <w:rPr>
                <w:lang w:val="es-ES"/>
              </w:rPr>
              <w:t>Op</w:t>
            </w:r>
            <w:r w:rsidR="001751C5" w:rsidRPr="00750120">
              <w:rPr>
                <w:lang w:val="es-ES"/>
              </w:rPr>
              <w:t>cional</w:t>
            </w:r>
            <w:r w:rsidRPr="00750120">
              <w:rPr>
                <w:lang w:val="es-ES"/>
              </w:rPr>
              <w:t xml:space="preserve">: </w:t>
            </w:r>
            <w:r w:rsidR="001751C5" w:rsidRPr="00750120">
              <w:rPr>
                <w:lang w:val="es-ES"/>
              </w:rPr>
              <w:t xml:space="preserve">evaluación puede ser hecha para todo el pedido, por ítem o por ítems en una entrega parcial (para flexibilidad) </w:t>
            </w:r>
          </w:p>
        </w:tc>
        <w:tc>
          <w:tcPr>
            <w:tcW w:w="3283" w:type="dxa"/>
          </w:tcPr>
          <w:p w14:paraId="05284CE1" w14:textId="6B73D6F3" w:rsidR="00A14329" w:rsidRPr="00750120" w:rsidRDefault="001751C5" w:rsidP="000F24AA">
            <w:pPr>
              <w:pStyle w:val="ListParagraph"/>
              <w:numPr>
                <w:ilvl w:val="0"/>
                <w:numId w:val="5"/>
              </w:numPr>
              <w:ind w:left="301"/>
              <w:rPr>
                <w:lang w:val="es-ES"/>
              </w:rPr>
            </w:pPr>
            <w:r w:rsidRPr="00750120">
              <w:rPr>
                <w:lang w:val="es-ES"/>
              </w:rPr>
              <w:t>Evaluación ítem por ítem</w:t>
            </w:r>
          </w:p>
        </w:tc>
        <w:tc>
          <w:tcPr>
            <w:tcW w:w="2879" w:type="dxa"/>
            <w:vMerge/>
          </w:tcPr>
          <w:p w14:paraId="761A0DBB" w14:textId="77777777" w:rsidR="00A14329" w:rsidRPr="00750120" w:rsidRDefault="00A14329">
            <w:pPr>
              <w:rPr>
                <w:lang w:val="es-ES"/>
              </w:rPr>
            </w:pPr>
          </w:p>
        </w:tc>
      </w:tr>
      <w:tr w:rsidR="00A14329" w:rsidRPr="00750120" w14:paraId="18458E95" w14:textId="77777777" w:rsidTr="00CC7D10">
        <w:tc>
          <w:tcPr>
            <w:tcW w:w="715" w:type="dxa"/>
            <w:vMerge/>
          </w:tcPr>
          <w:p w14:paraId="368ECE9F" w14:textId="77777777" w:rsidR="00A14329" w:rsidRPr="00750120" w:rsidRDefault="00A14329">
            <w:pPr>
              <w:rPr>
                <w:lang w:val="es-ES"/>
              </w:rPr>
            </w:pPr>
          </w:p>
        </w:tc>
        <w:tc>
          <w:tcPr>
            <w:tcW w:w="2790" w:type="dxa"/>
            <w:vMerge/>
          </w:tcPr>
          <w:p w14:paraId="1F997930" w14:textId="77777777" w:rsidR="00A14329" w:rsidRPr="00750120" w:rsidRDefault="00A14329" w:rsidP="00AE75A0">
            <w:pPr>
              <w:ind w:left="-20"/>
              <w:rPr>
                <w:b/>
                <w:lang w:val="es-ES"/>
              </w:rPr>
            </w:pPr>
          </w:p>
        </w:tc>
        <w:tc>
          <w:tcPr>
            <w:tcW w:w="3283" w:type="dxa"/>
          </w:tcPr>
          <w:p w14:paraId="64390B61" w14:textId="034250EF" w:rsidR="00A14329" w:rsidRPr="00750120" w:rsidRDefault="00647F95" w:rsidP="00A554A1">
            <w:pPr>
              <w:pStyle w:val="ListParagraph"/>
              <w:numPr>
                <w:ilvl w:val="0"/>
                <w:numId w:val="5"/>
              </w:numPr>
              <w:spacing w:before="40" w:after="40"/>
              <w:ind w:left="301"/>
              <w:contextualSpacing w:val="0"/>
              <w:rPr>
                <w:lang w:val="es-ES"/>
              </w:rPr>
            </w:pPr>
            <w:r w:rsidRPr="00750120">
              <w:rPr>
                <w:lang w:val="es-ES"/>
              </w:rPr>
              <w:t xml:space="preserve">evaluación simplificada y adjudicación del contrato al menor precio una vez confirmada el cumplimiento de las especificaciones técnicas </w:t>
            </w:r>
            <w:r w:rsidR="00EF5E2E" w:rsidRPr="00750120">
              <w:rPr>
                <w:lang w:val="es-ES"/>
              </w:rPr>
              <w:t xml:space="preserve"> - </w:t>
            </w:r>
            <w:r w:rsidR="00EF5E2E" w:rsidRPr="00750120">
              <w:rPr>
                <w:i/>
                <w:iCs/>
                <w:lang w:val="es-ES"/>
              </w:rPr>
              <w:t xml:space="preserve">ver consejos para </w:t>
            </w:r>
            <w:r w:rsidR="00EF5E2E" w:rsidRPr="00750120">
              <w:rPr>
                <w:i/>
                <w:iCs/>
                <w:lang w:val="es-ES"/>
              </w:rPr>
              <w:lastRenderedPageBreak/>
              <w:t>las negociaciones al finalizar el contrato</w:t>
            </w:r>
            <w:r w:rsidR="00EF5E2E" w:rsidRPr="00750120">
              <w:rPr>
                <w:lang w:val="es-ES"/>
              </w:rPr>
              <w:t xml:space="preserve"> </w:t>
            </w:r>
          </w:p>
          <w:p w14:paraId="039491FE" w14:textId="77777777" w:rsidR="00DD7AAC" w:rsidRPr="00750120" w:rsidRDefault="00DD7AAC" w:rsidP="00A554A1">
            <w:pPr>
              <w:pStyle w:val="ListParagraph"/>
              <w:numPr>
                <w:ilvl w:val="0"/>
                <w:numId w:val="5"/>
              </w:numPr>
              <w:spacing w:before="40" w:after="40"/>
              <w:ind w:left="301"/>
              <w:contextualSpacing w:val="0"/>
              <w:rPr>
                <w:lang w:val="es-ES"/>
              </w:rPr>
            </w:pPr>
            <w:r w:rsidRPr="00750120">
              <w:rPr>
                <w:lang w:val="es-ES"/>
              </w:rPr>
              <w:t>única moneda extranjera escogida por el Proveedor (a efecto de simpli</w:t>
            </w:r>
            <w:r w:rsidR="00647F95" w:rsidRPr="00750120">
              <w:rPr>
                <w:lang w:val="es-ES"/>
              </w:rPr>
              <w:t>fi</w:t>
            </w:r>
            <w:r w:rsidRPr="00750120">
              <w:rPr>
                <w:lang w:val="es-ES"/>
              </w:rPr>
              <w:t xml:space="preserve">car la evaluación </w:t>
            </w:r>
            <w:r w:rsidR="00EF5E2E" w:rsidRPr="00750120">
              <w:rPr>
                <w:lang w:val="es-ES"/>
              </w:rPr>
              <w:t xml:space="preserve">y </w:t>
            </w:r>
            <w:r w:rsidRPr="00750120">
              <w:rPr>
                <w:lang w:val="es-ES"/>
              </w:rPr>
              <w:t>a la vez gestiona</w:t>
            </w:r>
            <w:r w:rsidR="00EF5E2E" w:rsidRPr="00750120">
              <w:rPr>
                <w:lang w:val="es-ES"/>
              </w:rPr>
              <w:t>r</w:t>
            </w:r>
            <w:r w:rsidRPr="00750120">
              <w:rPr>
                <w:lang w:val="es-ES"/>
              </w:rPr>
              <w:t xml:space="preserve"> la percepción de riesgo del proveedor)</w:t>
            </w:r>
          </w:p>
          <w:p w14:paraId="5DCAEE98" w14:textId="5B025570" w:rsidR="00D43619" w:rsidRPr="00750120" w:rsidRDefault="00D43619" w:rsidP="00D43619">
            <w:pPr>
              <w:spacing w:before="40" w:after="40"/>
              <w:ind w:left="-59"/>
              <w:rPr>
                <w:lang w:val="es-ES"/>
              </w:rPr>
            </w:pPr>
          </w:p>
        </w:tc>
        <w:tc>
          <w:tcPr>
            <w:tcW w:w="3283" w:type="dxa"/>
          </w:tcPr>
          <w:p w14:paraId="4D3013FC" w14:textId="4CEEF191" w:rsidR="00A14329" w:rsidRPr="00750120" w:rsidRDefault="00EF5E2E" w:rsidP="000F24AA">
            <w:pPr>
              <w:pStyle w:val="ListParagraph"/>
              <w:numPr>
                <w:ilvl w:val="0"/>
                <w:numId w:val="5"/>
              </w:numPr>
              <w:spacing w:before="40" w:after="40"/>
              <w:ind w:left="301"/>
              <w:contextualSpacing w:val="0"/>
              <w:rPr>
                <w:lang w:val="es-ES"/>
              </w:rPr>
            </w:pPr>
            <w:r w:rsidRPr="00750120">
              <w:rPr>
                <w:lang w:val="es-ES"/>
              </w:rPr>
              <w:lastRenderedPageBreak/>
              <w:t xml:space="preserve">Oferta es negociada y el contrato se concluye (esto puede ser en forma virtual en un período muy corto) </w:t>
            </w:r>
            <w:r w:rsidR="00A554A1" w:rsidRPr="00750120">
              <w:rPr>
                <w:lang w:val="es-ES"/>
              </w:rPr>
              <w:t xml:space="preserve">- </w:t>
            </w:r>
            <w:r w:rsidRPr="00750120">
              <w:rPr>
                <w:lang w:val="es-ES"/>
              </w:rPr>
              <w:t>algunas estipulaciones son negociables</w:t>
            </w:r>
            <w:r w:rsidR="00A554A1" w:rsidRPr="00750120">
              <w:rPr>
                <w:lang w:val="es-ES"/>
              </w:rPr>
              <w:t xml:space="preserve"> - </w:t>
            </w:r>
            <w:r w:rsidRPr="00750120">
              <w:rPr>
                <w:i/>
                <w:iCs/>
                <w:lang w:val="es-ES"/>
              </w:rPr>
              <w:t xml:space="preserve">ver consejos </w:t>
            </w:r>
            <w:r w:rsidRPr="00750120">
              <w:rPr>
                <w:i/>
                <w:iCs/>
                <w:lang w:val="es-ES"/>
              </w:rPr>
              <w:lastRenderedPageBreak/>
              <w:t>para las negociaciones al finalizar el contrato</w:t>
            </w:r>
            <w:r w:rsidRPr="00750120">
              <w:rPr>
                <w:lang w:val="es-ES"/>
              </w:rPr>
              <w:t xml:space="preserve"> </w:t>
            </w:r>
          </w:p>
          <w:p w14:paraId="487B916C" w14:textId="77777777" w:rsidR="00A14329" w:rsidRPr="00750120" w:rsidRDefault="00A14329" w:rsidP="00AE75A0">
            <w:pPr>
              <w:pStyle w:val="ListParagraph"/>
              <w:ind w:left="211"/>
              <w:rPr>
                <w:lang w:val="es-ES"/>
              </w:rPr>
            </w:pPr>
          </w:p>
        </w:tc>
        <w:tc>
          <w:tcPr>
            <w:tcW w:w="2879" w:type="dxa"/>
            <w:vMerge/>
          </w:tcPr>
          <w:p w14:paraId="4786C522" w14:textId="77777777" w:rsidR="00A14329" w:rsidRPr="00750120" w:rsidRDefault="00A14329">
            <w:pPr>
              <w:rPr>
                <w:lang w:val="es-ES"/>
              </w:rPr>
            </w:pPr>
          </w:p>
        </w:tc>
      </w:tr>
      <w:tr w:rsidR="00A14329" w:rsidRPr="00750120" w14:paraId="7B141F25" w14:textId="77777777" w:rsidTr="004017B2">
        <w:trPr>
          <w:trHeight w:val="620"/>
        </w:trPr>
        <w:tc>
          <w:tcPr>
            <w:tcW w:w="715" w:type="dxa"/>
            <w:vMerge/>
          </w:tcPr>
          <w:p w14:paraId="3F7BACD1" w14:textId="77777777" w:rsidR="00A14329" w:rsidRPr="00750120" w:rsidRDefault="00A14329">
            <w:pPr>
              <w:rPr>
                <w:lang w:val="es-ES"/>
              </w:rPr>
            </w:pPr>
          </w:p>
        </w:tc>
        <w:tc>
          <w:tcPr>
            <w:tcW w:w="2790" w:type="dxa"/>
            <w:vMerge/>
          </w:tcPr>
          <w:p w14:paraId="06A19ABB" w14:textId="77777777" w:rsidR="00A14329" w:rsidRPr="00750120" w:rsidRDefault="00A14329" w:rsidP="00AE75A0">
            <w:pPr>
              <w:ind w:left="-20"/>
              <w:rPr>
                <w:b/>
                <w:lang w:val="es-ES"/>
              </w:rPr>
            </w:pPr>
          </w:p>
        </w:tc>
        <w:tc>
          <w:tcPr>
            <w:tcW w:w="6566" w:type="dxa"/>
            <w:gridSpan w:val="2"/>
          </w:tcPr>
          <w:p w14:paraId="00B9B262" w14:textId="0AEEBC95" w:rsidR="001E5DB8" w:rsidRPr="00750120" w:rsidRDefault="00DD7AAC" w:rsidP="004017B2">
            <w:pPr>
              <w:pStyle w:val="ListParagraph"/>
              <w:numPr>
                <w:ilvl w:val="0"/>
                <w:numId w:val="5"/>
              </w:numPr>
              <w:ind w:left="346"/>
              <w:rPr>
                <w:lang w:val="es-ES"/>
              </w:rPr>
            </w:pPr>
            <w:r w:rsidRPr="00750120">
              <w:rPr>
                <w:lang w:val="es-ES"/>
              </w:rPr>
              <w:t>Proveedores pueden solicitar aclaraciones o presentar quejas. Comprador debe atenderlas en una plazo razonable</w:t>
            </w:r>
          </w:p>
        </w:tc>
        <w:tc>
          <w:tcPr>
            <w:tcW w:w="2879" w:type="dxa"/>
            <w:vMerge/>
          </w:tcPr>
          <w:p w14:paraId="6EFD00C9" w14:textId="77777777" w:rsidR="00A14329" w:rsidRPr="00750120" w:rsidRDefault="00A14329">
            <w:pPr>
              <w:rPr>
                <w:lang w:val="es-ES"/>
              </w:rPr>
            </w:pPr>
          </w:p>
        </w:tc>
      </w:tr>
      <w:tr w:rsidR="00A14329" w:rsidRPr="00750120" w14:paraId="7F5054E4" w14:textId="77777777" w:rsidTr="008B738E">
        <w:tc>
          <w:tcPr>
            <w:tcW w:w="715" w:type="dxa"/>
            <w:vMerge/>
          </w:tcPr>
          <w:p w14:paraId="4DFBCB0C" w14:textId="77777777" w:rsidR="00A14329" w:rsidRPr="00750120" w:rsidRDefault="00A14329">
            <w:pPr>
              <w:rPr>
                <w:lang w:val="es-ES"/>
              </w:rPr>
            </w:pPr>
          </w:p>
        </w:tc>
        <w:tc>
          <w:tcPr>
            <w:tcW w:w="2790" w:type="dxa"/>
            <w:vMerge/>
          </w:tcPr>
          <w:p w14:paraId="4FA967E5" w14:textId="77777777" w:rsidR="00A14329" w:rsidRPr="00750120" w:rsidRDefault="00A14329" w:rsidP="00AE75A0">
            <w:pPr>
              <w:ind w:left="-20"/>
              <w:rPr>
                <w:b/>
                <w:lang w:val="es-ES"/>
              </w:rPr>
            </w:pPr>
          </w:p>
        </w:tc>
        <w:tc>
          <w:tcPr>
            <w:tcW w:w="6566" w:type="dxa"/>
            <w:gridSpan w:val="2"/>
          </w:tcPr>
          <w:p w14:paraId="24FB5ED0" w14:textId="77777777" w:rsidR="001E5DB8" w:rsidRPr="00750120" w:rsidRDefault="001E5DB8" w:rsidP="000F24AA">
            <w:pPr>
              <w:pStyle w:val="ListParagraph"/>
              <w:numPr>
                <w:ilvl w:val="0"/>
                <w:numId w:val="5"/>
              </w:numPr>
              <w:ind w:left="346"/>
              <w:rPr>
                <w:lang w:val="es-ES"/>
              </w:rPr>
            </w:pPr>
            <w:r w:rsidRPr="00750120">
              <w:rPr>
                <w:lang w:val="es-ES"/>
              </w:rPr>
              <w:t>Plantillas para incluir los requisitos (ítems, cantidades, etc.) y formularios de cotización, etc. (para facilitarle el trabajo a ambas partes)</w:t>
            </w:r>
          </w:p>
          <w:p w14:paraId="3103A28B" w14:textId="7F30291E" w:rsidR="00A14329" w:rsidRPr="00750120" w:rsidRDefault="00A14329" w:rsidP="00D43619">
            <w:pPr>
              <w:ind w:left="-14"/>
              <w:rPr>
                <w:lang w:val="es-ES"/>
              </w:rPr>
            </w:pPr>
          </w:p>
        </w:tc>
        <w:tc>
          <w:tcPr>
            <w:tcW w:w="2879" w:type="dxa"/>
            <w:vMerge/>
          </w:tcPr>
          <w:p w14:paraId="737F8CFA" w14:textId="77777777" w:rsidR="00A14329" w:rsidRPr="00750120" w:rsidRDefault="00A14329">
            <w:pPr>
              <w:rPr>
                <w:lang w:val="es-ES"/>
              </w:rPr>
            </w:pPr>
          </w:p>
        </w:tc>
      </w:tr>
      <w:tr w:rsidR="00A14329" w:rsidRPr="00750120" w14:paraId="4113D22A" w14:textId="77777777" w:rsidTr="00EF5E2E">
        <w:trPr>
          <w:trHeight w:val="730"/>
        </w:trPr>
        <w:tc>
          <w:tcPr>
            <w:tcW w:w="715" w:type="dxa"/>
            <w:vMerge w:val="restart"/>
          </w:tcPr>
          <w:p w14:paraId="47D5BB9E" w14:textId="77777777" w:rsidR="00A14329" w:rsidRPr="00750120" w:rsidRDefault="00A14329">
            <w:pPr>
              <w:rPr>
                <w:lang w:val="es-ES"/>
              </w:rPr>
            </w:pPr>
            <w:r w:rsidRPr="00750120">
              <w:rPr>
                <w:lang w:val="es-ES"/>
              </w:rPr>
              <w:t>3.</w:t>
            </w:r>
          </w:p>
        </w:tc>
        <w:tc>
          <w:tcPr>
            <w:tcW w:w="2790" w:type="dxa"/>
            <w:vMerge w:val="restart"/>
          </w:tcPr>
          <w:p w14:paraId="60EEE40F" w14:textId="77777777" w:rsidR="00816F5E" w:rsidRPr="00750120" w:rsidRDefault="00816F5E" w:rsidP="00AE75A0">
            <w:pPr>
              <w:ind w:left="-20"/>
              <w:rPr>
                <w:b/>
                <w:lang w:val="es-ES"/>
              </w:rPr>
            </w:pPr>
            <w:r w:rsidRPr="00750120">
              <w:rPr>
                <w:b/>
                <w:lang w:val="es-ES"/>
              </w:rPr>
              <w:t xml:space="preserve">Especificaciones Técnicas </w:t>
            </w:r>
          </w:p>
          <w:p w14:paraId="469E99FB" w14:textId="77777777" w:rsidR="00816F5E" w:rsidRPr="00750120" w:rsidRDefault="00816F5E" w:rsidP="00AE75A0">
            <w:pPr>
              <w:ind w:left="-20"/>
              <w:rPr>
                <w:b/>
                <w:lang w:val="es-ES"/>
              </w:rPr>
            </w:pPr>
          </w:p>
          <w:p w14:paraId="6D8B81EC" w14:textId="60B0FFC1" w:rsidR="00A14329" w:rsidRPr="00750120" w:rsidRDefault="00A14329" w:rsidP="00AE75A0">
            <w:pPr>
              <w:ind w:left="-20"/>
              <w:rPr>
                <w:b/>
                <w:lang w:val="es-ES"/>
              </w:rPr>
            </w:pPr>
          </w:p>
        </w:tc>
        <w:tc>
          <w:tcPr>
            <w:tcW w:w="6566" w:type="dxa"/>
            <w:gridSpan w:val="2"/>
          </w:tcPr>
          <w:p w14:paraId="1C043FA9" w14:textId="05564035" w:rsidR="00A14329" w:rsidRPr="00750120" w:rsidRDefault="000770D0" w:rsidP="000F24AA">
            <w:pPr>
              <w:pStyle w:val="ListParagraph"/>
              <w:numPr>
                <w:ilvl w:val="0"/>
                <w:numId w:val="6"/>
              </w:numPr>
              <w:ind w:left="346"/>
              <w:rPr>
                <w:lang w:val="es-ES"/>
              </w:rPr>
            </w:pPr>
            <w:r w:rsidRPr="00750120">
              <w:rPr>
                <w:lang w:val="es-ES"/>
              </w:rPr>
              <w:t>Enlace proporcionado a la lista recomendada, las especificaciones técnicas y normas de la OMS</w:t>
            </w:r>
          </w:p>
        </w:tc>
        <w:tc>
          <w:tcPr>
            <w:tcW w:w="2879" w:type="dxa"/>
            <w:vMerge/>
          </w:tcPr>
          <w:p w14:paraId="6A0AF2DC" w14:textId="77777777" w:rsidR="00A14329" w:rsidRPr="00750120" w:rsidRDefault="00A14329">
            <w:pPr>
              <w:rPr>
                <w:lang w:val="es-ES"/>
              </w:rPr>
            </w:pPr>
          </w:p>
        </w:tc>
      </w:tr>
      <w:tr w:rsidR="00A14329" w:rsidRPr="00750120" w14:paraId="0F4EB96A" w14:textId="77777777" w:rsidTr="00EF5E2E">
        <w:trPr>
          <w:trHeight w:val="1265"/>
        </w:trPr>
        <w:tc>
          <w:tcPr>
            <w:tcW w:w="715" w:type="dxa"/>
            <w:vMerge/>
          </w:tcPr>
          <w:p w14:paraId="307272D8" w14:textId="77777777" w:rsidR="00A14329" w:rsidRPr="00750120" w:rsidRDefault="00A14329">
            <w:pPr>
              <w:rPr>
                <w:lang w:val="es-ES"/>
              </w:rPr>
            </w:pPr>
          </w:p>
        </w:tc>
        <w:tc>
          <w:tcPr>
            <w:tcW w:w="2790" w:type="dxa"/>
            <w:vMerge/>
          </w:tcPr>
          <w:p w14:paraId="31AC9D4A" w14:textId="77777777" w:rsidR="00A14329" w:rsidRPr="00750120" w:rsidRDefault="00A14329" w:rsidP="00AE75A0">
            <w:pPr>
              <w:ind w:left="-20"/>
              <w:rPr>
                <w:b/>
                <w:lang w:val="es-ES"/>
              </w:rPr>
            </w:pPr>
          </w:p>
        </w:tc>
        <w:tc>
          <w:tcPr>
            <w:tcW w:w="3283" w:type="dxa"/>
          </w:tcPr>
          <w:p w14:paraId="11B7993B" w14:textId="399A2ECA" w:rsidR="00A14329" w:rsidRPr="00750120" w:rsidRDefault="000770D0" w:rsidP="000F24AA">
            <w:pPr>
              <w:pStyle w:val="ListParagraph"/>
              <w:numPr>
                <w:ilvl w:val="0"/>
                <w:numId w:val="5"/>
              </w:numPr>
              <w:ind w:left="346"/>
              <w:rPr>
                <w:lang w:val="es-ES"/>
              </w:rPr>
            </w:pPr>
            <w:r w:rsidRPr="00750120">
              <w:rPr>
                <w:lang w:val="es-ES"/>
              </w:rPr>
              <w:t xml:space="preserve">Procedimiento estandarizado permite la revisión y la adjudicación del contrato rápida </w:t>
            </w:r>
          </w:p>
        </w:tc>
        <w:tc>
          <w:tcPr>
            <w:tcW w:w="3283" w:type="dxa"/>
          </w:tcPr>
          <w:p w14:paraId="4B7E218F" w14:textId="7985D49B" w:rsidR="00A14329" w:rsidRPr="00750120" w:rsidRDefault="000770D0" w:rsidP="00647F95">
            <w:pPr>
              <w:pStyle w:val="ListParagraph"/>
              <w:numPr>
                <w:ilvl w:val="0"/>
                <w:numId w:val="5"/>
              </w:numPr>
              <w:ind w:left="346"/>
              <w:rPr>
                <w:lang w:val="es-ES"/>
              </w:rPr>
            </w:pPr>
            <w:r w:rsidRPr="00750120">
              <w:rPr>
                <w:lang w:val="es-ES"/>
              </w:rPr>
              <w:t xml:space="preserve">Procedimiento estandarizado permite la revisión y adjudicación del contrato rápida </w:t>
            </w:r>
          </w:p>
        </w:tc>
        <w:tc>
          <w:tcPr>
            <w:tcW w:w="2879" w:type="dxa"/>
            <w:vMerge/>
          </w:tcPr>
          <w:p w14:paraId="40DA3C79" w14:textId="77777777" w:rsidR="00A14329" w:rsidRPr="00750120" w:rsidRDefault="00A14329">
            <w:pPr>
              <w:rPr>
                <w:lang w:val="es-ES"/>
              </w:rPr>
            </w:pPr>
          </w:p>
        </w:tc>
      </w:tr>
      <w:tr w:rsidR="004017B2" w:rsidRPr="00750120" w14:paraId="2C2B1BE9" w14:textId="77777777" w:rsidTr="00404FC6">
        <w:tc>
          <w:tcPr>
            <w:tcW w:w="715" w:type="dxa"/>
          </w:tcPr>
          <w:p w14:paraId="5A2BC79C" w14:textId="77777777" w:rsidR="004017B2" w:rsidRPr="00750120" w:rsidRDefault="004017B2">
            <w:pPr>
              <w:rPr>
                <w:lang w:val="es-ES"/>
              </w:rPr>
            </w:pPr>
            <w:r w:rsidRPr="00750120">
              <w:rPr>
                <w:lang w:val="es-ES"/>
              </w:rPr>
              <w:t>4.</w:t>
            </w:r>
          </w:p>
        </w:tc>
        <w:tc>
          <w:tcPr>
            <w:tcW w:w="2790" w:type="dxa"/>
          </w:tcPr>
          <w:p w14:paraId="5C959D09" w14:textId="3905F0C2" w:rsidR="004017B2" w:rsidRPr="00750120" w:rsidRDefault="00750120" w:rsidP="00AE75A0">
            <w:pPr>
              <w:ind w:left="-20"/>
              <w:rPr>
                <w:b/>
                <w:lang w:val="es-ES"/>
              </w:rPr>
            </w:pPr>
            <w:r>
              <w:rPr>
                <w:b/>
                <w:lang w:val="es-ES"/>
              </w:rPr>
              <w:t>Formulario del Contrato</w:t>
            </w:r>
          </w:p>
        </w:tc>
        <w:tc>
          <w:tcPr>
            <w:tcW w:w="6566" w:type="dxa"/>
            <w:gridSpan w:val="2"/>
          </w:tcPr>
          <w:p w14:paraId="72B65BA7" w14:textId="4664191D" w:rsidR="004017B2" w:rsidRPr="00750120" w:rsidRDefault="00647F95" w:rsidP="004017B2">
            <w:pPr>
              <w:pStyle w:val="ListParagraph"/>
              <w:numPr>
                <w:ilvl w:val="0"/>
                <w:numId w:val="5"/>
              </w:numPr>
              <w:ind w:left="346"/>
              <w:rPr>
                <w:lang w:val="es-ES"/>
              </w:rPr>
            </w:pPr>
            <w:r w:rsidRPr="00750120">
              <w:rPr>
                <w:lang w:val="es-ES"/>
              </w:rPr>
              <w:t>Una única plantilla. Sin CGC ni CEC.</w:t>
            </w:r>
          </w:p>
          <w:p w14:paraId="58E6F965" w14:textId="6429175E" w:rsidR="004017B2" w:rsidRPr="00750120" w:rsidRDefault="00647F95" w:rsidP="004017B2">
            <w:pPr>
              <w:pStyle w:val="ListParagraph"/>
              <w:numPr>
                <w:ilvl w:val="0"/>
                <w:numId w:val="5"/>
              </w:numPr>
              <w:ind w:left="346"/>
              <w:rPr>
                <w:u w:val="single"/>
                <w:lang w:val="es-ES"/>
              </w:rPr>
            </w:pPr>
            <w:r w:rsidRPr="00750120">
              <w:rPr>
                <w:lang w:val="es-ES"/>
              </w:rPr>
              <w:t>Opciones a ser otorga</w:t>
            </w:r>
            <w:r w:rsidR="00EF5E2E" w:rsidRPr="00750120">
              <w:rPr>
                <w:lang w:val="es-ES"/>
              </w:rPr>
              <w:t>da</w:t>
            </w:r>
            <w:r w:rsidRPr="00750120">
              <w:rPr>
                <w:lang w:val="es-ES"/>
              </w:rPr>
              <w:t>s apropiadamente, por ej. los términos y forma del pago negociados para atender el fin</w:t>
            </w:r>
          </w:p>
          <w:p w14:paraId="2B9DF020" w14:textId="350DA3E9" w:rsidR="00A554A1" w:rsidRPr="00750120" w:rsidRDefault="00EF5E2E" w:rsidP="004017B2">
            <w:pPr>
              <w:pStyle w:val="ListParagraph"/>
              <w:numPr>
                <w:ilvl w:val="0"/>
                <w:numId w:val="5"/>
              </w:numPr>
              <w:ind w:left="346"/>
              <w:rPr>
                <w:u w:val="single"/>
                <w:lang w:val="es-ES"/>
              </w:rPr>
            </w:pPr>
            <w:r w:rsidRPr="00750120">
              <w:rPr>
                <w:lang w:val="es-ES"/>
              </w:rPr>
              <w:t xml:space="preserve">Para disminuir la precepción de riesgo del proveedor en ausencia de una carta de crédito (que no parece ser una opción viable en las circunstancias) el anticipo puede llegar al 40% en los casos de </w:t>
            </w:r>
            <w:r w:rsidRPr="00750120">
              <w:rPr>
                <w:lang w:val="es-ES"/>
              </w:rPr>
              <w:lastRenderedPageBreak/>
              <w:t>suministros viniendo del exterior (10% sin garantía y 30% con garantía) - esto es negociable</w:t>
            </w:r>
          </w:p>
          <w:p w14:paraId="2FFA8EE7" w14:textId="33F21918" w:rsidR="004017B2" w:rsidRPr="00750120" w:rsidRDefault="00750120" w:rsidP="004017B2">
            <w:pPr>
              <w:pStyle w:val="ListParagraph"/>
              <w:numPr>
                <w:ilvl w:val="0"/>
                <w:numId w:val="5"/>
              </w:numPr>
              <w:ind w:left="346"/>
              <w:rPr>
                <w:lang w:val="es-ES"/>
              </w:rPr>
            </w:pPr>
            <w:r w:rsidRPr="00750120">
              <w:rPr>
                <w:u w:val="single"/>
                <w:lang w:val="es-ES"/>
              </w:rPr>
              <w:t>Texto indicando que la garantía de cumplimiento del contrato no será generalmente requerida (a efecto de activarla solamente en circunstancias excepcionales</w:t>
            </w:r>
            <w:r w:rsidR="004017B2" w:rsidRPr="00750120">
              <w:rPr>
                <w:lang w:val="es-ES"/>
              </w:rPr>
              <w:t>)</w:t>
            </w:r>
          </w:p>
          <w:p w14:paraId="40657117" w14:textId="77777777" w:rsidR="000470B1" w:rsidRPr="00750120" w:rsidRDefault="000470B1" w:rsidP="004017B2">
            <w:pPr>
              <w:pStyle w:val="ListParagraph"/>
              <w:numPr>
                <w:ilvl w:val="0"/>
                <w:numId w:val="5"/>
              </w:numPr>
              <w:ind w:left="346"/>
              <w:rPr>
                <w:lang w:val="es-ES"/>
              </w:rPr>
            </w:pPr>
            <w:r w:rsidRPr="00750120">
              <w:rPr>
                <w:lang w:val="es-ES"/>
              </w:rPr>
              <w:t xml:space="preserve">estipulaciones sobre el pago de bonificaciones incluidas para estimular a los proveedores a acelerar la entrega </w:t>
            </w:r>
          </w:p>
          <w:p w14:paraId="1F7E43EF" w14:textId="77777777" w:rsidR="000470B1" w:rsidRPr="00750120" w:rsidRDefault="000470B1" w:rsidP="004017B2">
            <w:pPr>
              <w:pStyle w:val="ListParagraph"/>
              <w:numPr>
                <w:ilvl w:val="0"/>
                <w:numId w:val="5"/>
              </w:numPr>
              <w:ind w:left="346"/>
              <w:rPr>
                <w:lang w:val="es-ES"/>
              </w:rPr>
            </w:pPr>
            <w:r w:rsidRPr="00750120">
              <w:rPr>
                <w:lang w:val="es-ES"/>
              </w:rPr>
              <w:t>modalidad de transporte internacional: aéreo en la medida posible</w:t>
            </w:r>
          </w:p>
          <w:p w14:paraId="332C4B24" w14:textId="1F17BD11" w:rsidR="000470B1" w:rsidRPr="00750120" w:rsidRDefault="000470B1" w:rsidP="004017B2">
            <w:pPr>
              <w:pStyle w:val="ListParagraph"/>
              <w:numPr>
                <w:ilvl w:val="0"/>
                <w:numId w:val="5"/>
              </w:numPr>
              <w:ind w:left="346"/>
              <w:rPr>
                <w:lang w:val="es-ES"/>
              </w:rPr>
            </w:pPr>
            <w:r w:rsidRPr="00750120">
              <w:rPr>
                <w:lang w:val="es-ES"/>
              </w:rPr>
              <w:t xml:space="preserve">Adjudicación del contrato: </w:t>
            </w:r>
            <w:r w:rsidRPr="00750120">
              <w:rPr>
                <w:u w:val="single"/>
                <w:lang w:val="es-ES"/>
              </w:rPr>
              <w:t>electrónica</w:t>
            </w:r>
            <w:r w:rsidRPr="00750120">
              <w:rPr>
                <w:lang w:val="es-ES"/>
              </w:rPr>
              <w:t xml:space="preserve">. Uso de firma electrónica tales como </w:t>
            </w:r>
            <w:r w:rsidRPr="00750120">
              <w:rPr>
                <w:i/>
                <w:iCs/>
                <w:lang w:val="es-ES"/>
              </w:rPr>
              <w:t>DocuSig</w:t>
            </w:r>
            <w:r w:rsidRPr="00750120">
              <w:rPr>
                <w:lang w:val="es-ES"/>
              </w:rPr>
              <w:t>n cuando sea posible</w:t>
            </w:r>
          </w:p>
          <w:p w14:paraId="2AF7BAF2" w14:textId="65E6C968" w:rsidR="00A554A1" w:rsidRPr="00750120" w:rsidRDefault="000470B1" w:rsidP="004017B2">
            <w:pPr>
              <w:pStyle w:val="ListParagraph"/>
              <w:numPr>
                <w:ilvl w:val="0"/>
                <w:numId w:val="5"/>
              </w:numPr>
              <w:ind w:left="346"/>
              <w:rPr>
                <w:lang w:val="es-ES"/>
              </w:rPr>
            </w:pPr>
            <w:r w:rsidRPr="00750120">
              <w:rPr>
                <w:lang w:val="es-ES"/>
              </w:rPr>
              <w:t xml:space="preserve">Notificaciones contractuales: vía electrónica; reuniones relacionadas con el contrato (puede ser virtual) </w:t>
            </w:r>
          </w:p>
        </w:tc>
        <w:tc>
          <w:tcPr>
            <w:tcW w:w="2879" w:type="dxa"/>
            <w:vMerge/>
          </w:tcPr>
          <w:p w14:paraId="7CCBA94E" w14:textId="77777777" w:rsidR="004017B2" w:rsidRPr="00750120" w:rsidRDefault="004017B2">
            <w:pPr>
              <w:rPr>
                <w:lang w:val="es-ES"/>
              </w:rPr>
            </w:pPr>
          </w:p>
        </w:tc>
      </w:tr>
    </w:tbl>
    <w:p w14:paraId="0CDA75D1" w14:textId="77777777" w:rsidR="009F2639" w:rsidRPr="00750120" w:rsidRDefault="009F2639">
      <w:pPr>
        <w:rPr>
          <w:lang w:val="es-ES"/>
        </w:rPr>
      </w:pPr>
    </w:p>
    <w:sectPr w:rsidR="009F2639" w:rsidRPr="00750120" w:rsidSect="00CC7D10">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75D5F" w14:textId="77777777" w:rsidR="00112238" w:rsidRDefault="00112238" w:rsidP="00812078">
      <w:pPr>
        <w:spacing w:after="0" w:line="240" w:lineRule="auto"/>
      </w:pPr>
      <w:r>
        <w:separator/>
      </w:r>
    </w:p>
  </w:endnote>
  <w:endnote w:type="continuationSeparator" w:id="0">
    <w:p w14:paraId="358BDB32" w14:textId="77777777" w:rsidR="00112238" w:rsidRDefault="00112238" w:rsidP="0081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1929330"/>
      <w:docPartObj>
        <w:docPartGallery w:val="Page Numbers (Bottom of Page)"/>
        <w:docPartUnique/>
      </w:docPartObj>
    </w:sdtPr>
    <w:sdtEndPr>
      <w:rPr>
        <w:noProof/>
      </w:rPr>
    </w:sdtEndPr>
    <w:sdtContent>
      <w:p w14:paraId="1D05AF3C" w14:textId="77777777" w:rsidR="00812078" w:rsidRDefault="0081207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E2049F7" w14:textId="77777777" w:rsidR="00812078" w:rsidRDefault="008120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D7F14F" w14:textId="77777777" w:rsidR="00112238" w:rsidRDefault="00112238" w:rsidP="00812078">
      <w:pPr>
        <w:spacing w:after="0" w:line="240" w:lineRule="auto"/>
      </w:pPr>
      <w:r>
        <w:separator/>
      </w:r>
    </w:p>
  </w:footnote>
  <w:footnote w:type="continuationSeparator" w:id="0">
    <w:p w14:paraId="3F984784" w14:textId="77777777" w:rsidR="00112238" w:rsidRDefault="00112238" w:rsidP="00812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637BA"/>
    <w:multiLevelType w:val="hybridMultilevel"/>
    <w:tmpl w:val="9FBC6C28"/>
    <w:lvl w:ilvl="0" w:tplc="04090001">
      <w:start w:val="1"/>
      <w:numFmt w:val="bullet"/>
      <w:lvlText w:val=""/>
      <w:lvlJc w:val="left"/>
      <w:pPr>
        <w:ind w:left="700" w:hanging="360"/>
      </w:pPr>
      <w:rPr>
        <w:rFonts w:ascii="Symbol" w:hAnsi="Symbol"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1" w15:restartNumberingAfterBreak="0">
    <w:nsid w:val="42016FB9"/>
    <w:multiLevelType w:val="hybridMultilevel"/>
    <w:tmpl w:val="3348B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AA6B5A"/>
    <w:multiLevelType w:val="hybridMultilevel"/>
    <w:tmpl w:val="36523276"/>
    <w:lvl w:ilvl="0" w:tplc="04090001">
      <w:start w:val="1"/>
      <w:numFmt w:val="bullet"/>
      <w:lvlText w:val=""/>
      <w:lvlJc w:val="left"/>
      <w:pPr>
        <w:ind w:left="931" w:hanging="360"/>
      </w:pPr>
      <w:rPr>
        <w:rFonts w:ascii="Symbol" w:hAnsi="Symbol" w:hint="default"/>
      </w:rPr>
    </w:lvl>
    <w:lvl w:ilvl="1" w:tplc="04090003" w:tentative="1">
      <w:start w:val="1"/>
      <w:numFmt w:val="bullet"/>
      <w:lvlText w:val="o"/>
      <w:lvlJc w:val="left"/>
      <w:pPr>
        <w:ind w:left="1651" w:hanging="360"/>
      </w:pPr>
      <w:rPr>
        <w:rFonts w:ascii="Courier New" w:hAnsi="Courier New" w:cs="Courier New" w:hint="default"/>
      </w:rPr>
    </w:lvl>
    <w:lvl w:ilvl="2" w:tplc="04090005" w:tentative="1">
      <w:start w:val="1"/>
      <w:numFmt w:val="bullet"/>
      <w:lvlText w:val=""/>
      <w:lvlJc w:val="left"/>
      <w:pPr>
        <w:ind w:left="2371" w:hanging="360"/>
      </w:pPr>
      <w:rPr>
        <w:rFonts w:ascii="Wingdings" w:hAnsi="Wingdings" w:hint="default"/>
      </w:rPr>
    </w:lvl>
    <w:lvl w:ilvl="3" w:tplc="04090001" w:tentative="1">
      <w:start w:val="1"/>
      <w:numFmt w:val="bullet"/>
      <w:lvlText w:val=""/>
      <w:lvlJc w:val="left"/>
      <w:pPr>
        <w:ind w:left="3091" w:hanging="360"/>
      </w:pPr>
      <w:rPr>
        <w:rFonts w:ascii="Symbol" w:hAnsi="Symbol" w:hint="default"/>
      </w:rPr>
    </w:lvl>
    <w:lvl w:ilvl="4" w:tplc="04090003" w:tentative="1">
      <w:start w:val="1"/>
      <w:numFmt w:val="bullet"/>
      <w:lvlText w:val="o"/>
      <w:lvlJc w:val="left"/>
      <w:pPr>
        <w:ind w:left="3811" w:hanging="360"/>
      </w:pPr>
      <w:rPr>
        <w:rFonts w:ascii="Courier New" w:hAnsi="Courier New" w:cs="Courier New" w:hint="default"/>
      </w:rPr>
    </w:lvl>
    <w:lvl w:ilvl="5" w:tplc="04090005" w:tentative="1">
      <w:start w:val="1"/>
      <w:numFmt w:val="bullet"/>
      <w:lvlText w:val=""/>
      <w:lvlJc w:val="left"/>
      <w:pPr>
        <w:ind w:left="4531" w:hanging="360"/>
      </w:pPr>
      <w:rPr>
        <w:rFonts w:ascii="Wingdings" w:hAnsi="Wingdings" w:hint="default"/>
      </w:rPr>
    </w:lvl>
    <w:lvl w:ilvl="6" w:tplc="04090001" w:tentative="1">
      <w:start w:val="1"/>
      <w:numFmt w:val="bullet"/>
      <w:lvlText w:val=""/>
      <w:lvlJc w:val="left"/>
      <w:pPr>
        <w:ind w:left="5251" w:hanging="360"/>
      </w:pPr>
      <w:rPr>
        <w:rFonts w:ascii="Symbol" w:hAnsi="Symbol" w:hint="default"/>
      </w:rPr>
    </w:lvl>
    <w:lvl w:ilvl="7" w:tplc="04090003" w:tentative="1">
      <w:start w:val="1"/>
      <w:numFmt w:val="bullet"/>
      <w:lvlText w:val="o"/>
      <w:lvlJc w:val="left"/>
      <w:pPr>
        <w:ind w:left="5971" w:hanging="360"/>
      </w:pPr>
      <w:rPr>
        <w:rFonts w:ascii="Courier New" w:hAnsi="Courier New" w:cs="Courier New" w:hint="default"/>
      </w:rPr>
    </w:lvl>
    <w:lvl w:ilvl="8" w:tplc="04090005" w:tentative="1">
      <w:start w:val="1"/>
      <w:numFmt w:val="bullet"/>
      <w:lvlText w:val=""/>
      <w:lvlJc w:val="left"/>
      <w:pPr>
        <w:ind w:left="6691" w:hanging="360"/>
      </w:pPr>
      <w:rPr>
        <w:rFonts w:ascii="Wingdings" w:hAnsi="Wingdings" w:hint="default"/>
      </w:rPr>
    </w:lvl>
  </w:abstractNum>
  <w:abstractNum w:abstractNumId="3" w15:restartNumberingAfterBreak="0">
    <w:nsid w:val="59710A51"/>
    <w:multiLevelType w:val="multilevel"/>
    <w:tmpl w:val="E45AE2E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12F1529"/>
    <w:multiLevelType w:val="multilevel"/>
    <w:tmpl w:val="FF1EB4F0"/>
    <w:lvl w:ilvl="0">
      <w:start w:val="1"/>
      <w:numFmt w:val="decimal"/>
      <w:pStyle w:val="HeadingCCTB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743D1DD1"/>
    <w:multiLevelType w:val="hybridMultilevel"/>
    <w:tmpl w:val="2884AF8C"/>
    <w:lvl w:ilvl="0" w:tplc="BBE838D8">
      <w:start w:val="1"/>
      <w:numFmt w:val="decimal"/>
      <w:lvlText w:val="%1."/>
      <w:lvlJc w:val="left"/>
      <w:pPr>
        <w:ind w:left="346" w:hanging="360"/>
      </w:pPr>
      <w:rPr>
        <w:rFonts w:hint="default"/>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num w:numId="1">
    <w:abstractNumId w:val="3"/>
  </w:num>
  <w:num w:numId="2">
    <w:abstractNumId w:val="3"/>
  </w:num>
  <w:num w:numId="3">
    <w:abstractNumId w:val="4"/>
  </w:num>
  <w:num w:numId="4">
    <w:abstractNumId w:val="0"/>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D10"/>
    <w:rsid w:val="000470B1"/>
    <w:rsid w:val="00051CE0"/>
    <w:rsid w:val="000770D0"/>
    <w:rsid w:val="000D6813"/>
    <w:rsid w:val="000F24AA"/>
    <w:rsid w:val="00112238"/>
    <w:rsid w:val="001751C5"/>
    <w:rsid w:val="001B43E3"/>
    <w:rsid w:val="001E5DB8"/>
    <w:rsid w:val="00217E4B"/>
    <w:rsid w:val="00340688"/>
    <w:rsid w:val="0036182B"/>
    <w:rsid w:val="004017B2"/>
    <w:rsid w:val="0048546A"/>
    <w:rsid w:val="005066CF"/>
    <w:rsid w:val="0053519C"/>
    <w:rsid w:val="00647F95"/>
    <w:rsid w:val="006C3036"/>
    <w:rsid w:val="00726779"/>
    <w:rsid w:val="00733B8B"/>
    <w:rsid w:val="00750120"/>
    <w:rsid w:val="007E7549"/>
    <w:rsid w:val="00812078"/>
    <w:rsid w:val="00816F5E"/>
    <w:rsid w:val="008E7834"/>
    <w:rsid w:val="009F2639"/>
    <w:rsid w:val="00A14329"/>
    <w:rsid w:val="00A554A1"/>
    <w:rsid w:val="00AE75A0"/>
    <w:rsid w:val="00B67FC9"/>
    <w:rsid w:val="00BA2765"/>
    <w:rsid w:val="00BB44D3"/>
    <w:rsid w:val="00CC7D10"/>
    <w:rsid w:val="00D43619"/>
    <w:rsid w:val="00DC7245"/>
    <w:rsid w:val="00DD7AAC"/>
    <w:rsid w:val="00E650A5"/>
    <w:rsid w:val="00E97839"/>
    <w:rsid w:val="00EF5E2E"/>
    <w:rsid w:val="00F80C00"/>
    <w:rsid w:val="00FA2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0F9AC"/>
  <w15:chartTrackingRefBased/>
  <w15:docId w15:val="{55B6FA95-7231-4EF9-BB5F-7E8911F7C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E650A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CCTB3">
    <w:name w:val="Heading CC TB 3"/>
    <w:basedOn w:val="Heading3"/>
    <w:link w:val="HeadingCCTB3Char"/>
    <w:qFormat/>
    <w:rsid w:val="00E650A5"/>
    <w:pPr>
      <w:keepNext w:val="0"/>
      <w:keepLines w:val="0"/>
      <w:numPr>
        <w:numId w:val="3"/>
      </w:numPr>
      <w:spacing w:before="120" w:after="120" w:line="240" w:lineRule="auto"/>
      <w:ind w:left="360" w:hanging="360"/>
    </w:pPr>
    <w:rPr>
      <w:rFonts w:asciiTheme="minorHAnsi" w:eastAsiaTheme="minorHAnsi" w:hAnsiTheme="minorHAnsi" w:cstheme="minorBidi"/>
      <w:color w:val="auto"/>
      <w:lang w:val="en-GB"/>
    </w:rPr>
  </w:style>
  <w:style w:type="character" w:customStyle="1" w:styleId="HeadingCCTB3Char">
    <w:name w:val="Heading CC TB 3 Char"/>
    <w:basedOn w:val="Heading3Char"/>
    <w:link w:val="HeadingCCTB3"/>
    <w:rsid w:val="00E650A5"/>
    <w:rPr>
      <w:rFonts w:asciiTheme="majorHAnsi" w:eastAsiaTheme="majorEastAsia" w:hAnsiTheme="majorHAnsi" w:cstheme="majorBidi"/>
      <w:color w:val="1F3763" w:themeColor="accent1" w:themeShade="7F"/>
      <w:sz w:val="24"/>
      <w:szCs w:val="24"/>
      <w:lang w:val="en-GB"/>
    </w:rPr>
  </w:style>
  <w:style w:type="character" w:customStyle="1" w:styleId="Heading3Char">
    <w:name w:val="Heading 3 Char"/>
    <w:basedOn w:val="DefaultParagraphFont"/>
    <w:link w:val="Heading3"/>
    <w:uiPriority w:val="9"/>
    <w:semiHidden/>
    <w:rsid w:val="00E650A5"/>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CC7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7D10"/>
    <w:pPr>
      <w:ind w:left="720"/>
      <w:contextualSpacing/>
    </w:pPr>
  </w:style>
  <w:style w:type="character" w:styleId="CommentReference">
    <w:name w:val="annotation reference"/>
    <w:basedOn w:val="DefaultParagraphFont"/>
    <w:uiPriority w:val="99"/>
    <w:semiHidden/>
    <w:unhideWhenUsed/>
    <w:rsid w:val="00CC7D10"/>
    <w:rPr>
      <w:sz w:val="16"/>
      <w:szCs w:val="16"/>
    </w:rPr>
  </w:style>
  <w:style w:type="paragraph" w:styleId="CommentText">
    <w:name w:val="annotation text"/>
    <w:basedOn w:val="Normal"/>
    <w:link w:val="CommentTextChar"/>
    <w:uiPriority w:val="99"/>
    <w:semiHidden/>
    <w:unhideWhenUsed/>
    <w:rsid w:val="00CC7D10"/>
    <w:pPr>
      <w:spacing w:line="240" w:lineRule="auto"/>
    </w:pPr>
    <w:rPr>
      <w:sz w:val="20"/>
      <w:szCs w:val="20"/>
    </w:rPr>
  </w:style>
  <w:style w:type="character" w:customStyle="1" w:styleId="CommentTextChar">
    <w:name w:val="Comment Text Char"/>
    <w:basedOn w:val="DefaultParagraphFont"/>
    <w:link w:val="CommentText"/>
    <w:uiPriority w:val="99"/>
    <w:semiHidden/>
    <w:rsid w:val="00CC7D10"/>
    <w:rPr>
      <w:sz w:val="20"/>
      <w:szCs w:val="20"/>
    </w:rPr>
  </w:style>
  <w:style w:type="paragraph" w:styleId="BalloonText">
    <w:name w:val="Balloon Text"/>
    <w:basedOn w:val="Normal"/>
    <w:link w:val="BalloonTextChar"/>
    <w:uiPriority w:val="99"/>
    <w:semiHidden/>
    <w:unhideWhenUsed/>
    <w:rsid w:val="00CC7D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D10"/>
    <w:rPr>
      <w:rFonts w:ascii="Segoe UI" w:hAnsi="Segoe UI" w:cs="Segoe UI"/>
      <w:sz w:val="18"/>
      <w:szCs w:val="18"/>
    </w:rPr>
  </w:style>
  <w:style w:type="paragraph" w:styleId="Header">
    <w:name w:val="header"/>
    <w:basedOn w:val="Normal"/>
    <w:link w:val="HeaderChar"/>
    <w:uiPriority w:val="99"/>
    <w:unhideWhenUsed/>
    <w:rsid w:val="004017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7B2"/>
  </w:style>
  <w:style w:type="paragraph" w:styleId="Footer">
    <w:name w:val="footer"/>
    <w:basedOn w:val="Normal"/>
    <w:link w:val="FooterChar"/>
    <w:uiPriority w:val="99"/>
    <w:unhideWhenUsed/>
    <w:rsid w:val="0081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2" ma:contentTypeDescription="Create a new document." ma:contentTypeScope="" ma:versionID="e8e1bf04165ff7bba49cf144bae3296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b92fb47443f590539839531072940309"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E0B005-23FE-4481-8645-843F7302D5BC}">
  <ds:schemaRefs>
    <ds:schemaRef ds:uri="http://schemas.microsoft.com/sharepoint/v3/contenttype/forms"/>
  </ds:schemaRefs>
</ds:datastoreItem>
</file>

<file path=customXml/itemProps2.xml><?xml version="1.0" encoding="utf-8"?>
<ds:datastoreItem xmlns:ds="http://schemas.openxmlformats.org/officeDocument/2006/customXml" ds:itemID="{3B36BE44-791E-4F20-B60F-D90F5349E3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F08286-9F3C-42E7-9C63-2A39E17C223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4</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Haile Selassie</dc:creator>
  <cp:keywords/>
  <dc:description/>
  <cp:lastModifiedBy>Efraim Jimenez</cp:lastModifiedBy>
  <cp:revision>14</cp:revision>
  <dcterms:created xsi:type="dcterms:W3CDTF">2020-03-30T18:31:00Z</dcterms:created>
  <dcterms:modified xsi:type="dcterms:W3CDTF">2020-03-30T22:05:00Z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